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media/image10.tif" ContentType="image/tiff"/>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9.7 -->
  <w:body>
    <w:p w:rsidR="00F45DB3" w:rsidRPr="00284DC3" w:rsidP="00284DC3" w14:paraId="44B86D5B" w14:textId="65A53138">
      <w:pPr>
        <w:pStyle w:val="Title"/>
        <w:pageBreakBefore/>
        <w:sectPr w:rsidSect="00B93CC2">
          <w:headerReference w:type="even" r:id="rId5"/>
          <w:headerReference w:type="default" r:id="rId6"/>
          <w:footerReference w:type="even" r:id="rId7"/>
          <w:footerReference w:type="default" r:id="rId8"/>
          <w:headerReference w:type="first" r:id="rId9"/>
          <w:footerReference w:type="first" r:id="rId10"/>
          <w:type w:val="continuous"/>
          <w:pgSz w:w="16838" w:h="11906" w:orient="landscape"/>
          <w:pgMar w:top="1814" w:right="737" w:bottom="1247" w:left="737" w:header="720" w:footer="720" w:gutter="0"/>
          <w:pgBorders w:zOrder="front" w:display="allPages" w:offsetFrom="text">
            <w:top w:val="nil"/>
            <w:left w:val="nil"/>
            <w:bottom w:val="nil"/>
            <w:right w:val="nil"/>
          </w:pgBorders>
          <w:cols w:space="720"/>
          <w:vAlign w:val="top"/>
          <w:titlePg w:val="0"/>
          <w:rtlGutter w:val="0"/>
          <w:docGrid w:linePitch="360"/>
        </w:sectPr>
      </w:pPr>
      <w:bookmarkStart w:id="0" w:name="RG_MARKER_7282"/>
      <w:bookmarkStart w:id="1" w:name="RG_MARKER_7266"/>
      <w:r w:rsidRPr="00284DC3">
        <w:t>BOARD OF DIRECTORS' REPORT</w:t>
      </w:r>
      <w:bookmarkEnd w:id="1"/>
      <w:bookmarkEnd w:id="0"/>
    </w:p>
    <w:p w:rsidR="00F45DB3" w:rsidRPr="00B15DF5" w:rsidP="00B15DF5" w14:paraId="44B86D5C" w14:textId="0223ED89">
      <w:pPr>
        <w:pStyle w:val="Heading2"/>
      </w:pPr>
      <w:r w:rsidRPr="00B15DF5">
        <w:t>BUSINESS MODEL</w:t>
      </w:r>
    </w:p>
    <w:p w:rsidR="00B15DF5" w:rsidRPr="009F40D4" w:rsidP="00703CD8" w14:paraId="7670DD03" w14:textId="4754203F">
      <w:pPr>
        <w:pStyle w:val="WNormal"/>
        <w:rPr>
          <w:lang w:val="en-GB"/>
        </w:rPr>
      </w:pPr>
      <w:r w:rsidRPr="009F40D4">
        <w:rPr>
          <w:lang w:val="en-GB"/>
        </w:rPr>
        <w:t>Wärtsilä provides the marine and energy markets with innovative technologies and lifecycle solutions. In the energy industry, Wärtsilä offers power system optimisation with a portfolio of future fuel enabled thermal balancing power solutions, hybrid soluti</w:t>
      </w:r>
      <w:r w:rsidRPr="009F40D4">
        <w:rPr>
          <w:lang w:val="en-GB"/>
        </w:rPr>
        <w:t>ons, as well as energy management and storage systems on an equipment only or turnkey delivery basis. The marine offering includes power and propulsion systems, voyage solutions, as well as exhaust treatment applications, gas solutions, and shaft line solu</w:t>
      </w:r>
      <w:r w:rsidRPr="009F40D4">
        <w:rPr>
          <w:lang w:val="en-GB"/>
        </w:rPr>
        <w:t>tions. Wärtsilä has the capabilities needed to combine its marine products into larger integrated systems and solutions. Wärtsilä’s portfolio of services ranges from spare parts and technical expertise</w:t>
      </w:r>
      <w:r w:rsidRPr="009F40D4">
        <w:rPr>
          <w:lang w:val="en-GB"/>
        </w:rPr>
        <w:t xml:space="preserve"> to performance-based agreements that ensure a maximis</w:t>
      </w:r>
      <w:r w:rsidRPr="009F40D4">
        <w:rPr>
          <w:lang w:val="en-GB"/>
        </w:rPr>
        <w:t xml:space="preserve">ed installation lifetime, increased efficiency, and guaranteed performance. The company aims at maximising environmental and economic performance by emphasising innovation in sustainable technology and services. </w:t>
      </w:r>
    </w:p>
    <w:p w:rsidR="0076174B" w:rsidRPr="009F40D4" w:rsidP="00AF1201" w14:paraId="57425956" w14:textId="4E7CFE02">
      <w:pPr>
        <w:pStyle w:val="WNormal"/>
        <w:rPr>
          <w:lang w:val="en-GB"/>
        </w:rPr>
      </w:pPr>
      <w:r w:rsidRPr="009F40D4">
        <w:rPr>
          <w:lang w:val="en-GB"/>
        </w:rPr>
        <w:t>To support its geographically dispersed customer base, Wärtsilä’s sales and service network covers m</w:t>
      </w:r>
      <w:r>
        <w:rPr>
          <w:lang w:val="en-GB"/>
        </w:rPr>
        <w:t xml:space="preserve">ore than </w:t>
      </w:r>
      <w:r w:rsidRPr="009F40D4">
        <w:rPr>
          <w:lang w:val="en-GB"/>
        </w:rPr>
        <w:t>2</w:t>
      </w:r>
      <w:r>
        <w:rPr>
          <w:lang w:val="en-GB"/>
        </w:rPr>
        <w:t>00</w:t>
      </w:r>
      <w:r w:rsidRPr="009F40D4">
        <w:rPr>
          <w:lang w:val="en-GB"/>
        </w:rPr>
        <w:t xml:space="preserve"> locations in </w:t>
      </w:r>
      <w:r>
        <w:rPr>
          <w:lang w:val="en-GB"/>
        </w:rPr>
        <w:t>68</w:t>
      </w:r>
      <w:r w:rsidRPr="009F40D4">
        <w:rPr>
          <w:lang w:val="en-GB"/>
        </w:rPr>
        <w:t xml:space="preserve"> countries around the world. Wärtsilä operates primarily through its subsidiaries and strategic joint ventures. The company’s ma</w:t>
      </w:r>
      <w:r w:rsidRPr="009F40D4">
        <w:rPr>
          <w:lang w:val="en-GB"/>
        </w:rPr>
        <w:t xml:space="preserve">nufacturing model is assembly-based, thus emphasising the importance of developing long-term relationships with </w:t>
      </w:r>
      <w:bookmarkStart w:id="2" w:name="_Hlk92798730"/>
      <w:r w:rsidRPr="009F40D4">
        <w:rPr>
          <w:lang w:val="en-GB"/>
        </w:rPr>
        <w:t xml:space="preserve">its global network of suppliers, which consists of </w:t>
      </w:r>
      <w:r w:rsidRPr="0068483E">
        <w:rPr>
          <w:color w:val="auto"/>
          <w:lang w:val="en-GB"/>
        </w:rPr>
        <w:t xml:space="preserve">approximately 1,200 global </w:t>
      </w:r>
      <w:r w:rsidRPr="009F40D4">
        <w:rPr>
          <w:lang w:val="en-GB"/>
        </w:rPr>
        <w:t xml:space="preserve">direct </w:t>
      </w:r>
      <w:r w:rsidR="000D18EF">
        <w:rPr>
          <w:lang w:val="en-GB"/>
        </w:rPr>
        <w:t xml:space="preserve">material </w:t>
      </w:r>
      <w:r w:rsidRPr="009F40D4">
        <w:rPr>
          <w:lang w:val="en-GB"/>
        </w:rPr>
        <w:t>suppliers</w:t>
      </w:r>
      <w:bookmarkEnd w:id="2"/>
      <w:r w:rsidRPr="009F40D4">
        <w:rPr>
          <w:lang w:val="en-GB"/>
        </w:rPr>
        <w:t>. Wärtsilä’s personnel is made up of appr</w:t>
      </w:r>
      <w:r w:rsidRPr="009F40D4">
        <w:rPr>
          <w:lang w:val="en-GB"/>
        </w:rPr>
        <w:t>oximately 1</w:t>
      </w:r>
      <w:r>
        <w:rPr>
          <w:lang w:val="en-GB"/>
        </w:rPr>
        <w:t>7</w:t>
      </w:r>
      <w:r w:rsidRPr="009F40D4">
        <w:rPr>
          <w:lang w:val="en-GB"/>
        </w:rPr>
        <w:t>,000 employees comprising 13</w:t>
      </w:r>
      <w:r>
        <w:rPr>
          <w:lang w:val="en-GB"/>
        </w:rPr>
        <w:t>0</w:t>
      </w:r>
      <w:r w:rsidRPr="009F40D4">
        <w:rPr>
          <w:lang w:val="en-GB"/>
        </w:rPr>
        <w:t xml:space="preserve"> nationalities. By recruiting and retaining the best talent, Wärtsilä can be the most valued business partner to its customers, and the employer of choice for current and future employees. Wärtsilä is committed to c</w:t>
      </w:r>
      <w:r w:rsidRPr="009F40D4">
        <w:rPr>
          <w:lang w:val="en-GB"/>
        </w:rPr>
        <w:t>onducting its business in a responsible manner, and requires its suppliers and business partners to follow the same high legal and ethical standards and business practices.</w:t>
      </w:r>
    </w:p>
    <w:p w:rsidR="00505394" w:rsidRPr="008C7270" w:rsidP="008C7270">
      <w:pPr>
        <w:pStyle w:val="WHeading20"/>
      </w:pPr>
      <w:bookmarkStart w:id="3" w:name="RG_MARKER_7283"/>
      <w:r w:rsidRPr="008C7270">
        <w:t>STRATEGY</w:t>
      </w:r>
      <w:bookmarkEnd w:id="3"/>
    </w:p>
    <w:p w:rsidR="00505394" w:rsidRPr="00A95563" w:rsidP="008C7270">
      <w:pPr>
        <w:pStyle w:val="WHeading3"/>
      </w:pPr>
      <w:r w:rsidRPr="00A95563">
        <w:t>Strategy implementation in 2021</w:t>
      </w:r>
    </w:p>
    <w:p w:rsidR="008C7270" w:rsidRPr="00D07AAA" w:rsidP="006D429C">
      <w:pPr>
        <w:pStyle w:val="WNormal"/>
        <w:rPr>
          <w:lang w:val="en-GB"/>
        </w:rPr>
      </w:pPr>
      <w:r w:rsidRPr="00D07AAA">
        <w:rPr>
          <w:lang w:val="en-GB"/>
        </w:rPr>
        <w:t>In 2021, Wärtsilä</w:t>
      </w:r>
      <w:r w:rsidRPr="00D07AAA">
        <w:rPr>
          <w:lang w:val="en-GB"/>
        </w:rPr>
        <w:t xml:space="preserve"> launched a new phase in the company’s development, with the company’s value creation potential going forward being based on two strategic themes: Transform and Perform. The Transform theme refers to decarbonisation, creating new business opportunities by </w:t>
      </w:r>
      <w:r w:rsidRPr="00D07AAA">
        <w:rPr>
          <w:lang w:val="en-GB"/>
        </w:rPr>
        <w:t>leveraging growth in electricity generation, balancing power and green marine transport. The Perform theme centres around leveraging market recovery and growth, supported by robust execution</w:t>
      </w:r>
      <w:r>
        <w:rPr>
          <w:lang w:val="en-GB"/>
        </w:rPr>
        <w:t>, continuous improvement,</w:t>
      </w:r>
      <w:r w:rsidRPr="00D07AAA">
        <w:rPr>
          <w:lang w:val="en-GB"/>
        </w:rPr>
        <w:t xml:space="preserve"> and the company’s commitment to both fin</w:t>
      </w:r>
      <w:r w:rsidRPr="00D07AAA">
        <w:rPr>
          <w:lang w:val="en-GB"/>
        </w:rPr>
        <w:t>ancial and sustainability targets. Wärtsilä’s purpose to enable sustainable societies through innovation in technology and services is well connected to the Transform and Perform themes. The company’s five strategic priorities emphasise customer value, hig</w:t>
      </w:r>
      <w:r w:rsidRPr="00D07AAA">
        <w:rPr>
          <w:lang w:val="en-GB"/>
        </w:rPr>
        <w:t>h-performing teams, decarbonisation, service growth, and continuous improvement.</w:t>
      </w:r>
    </w:p>
    <w:p w:rsidR="008C7270" w:rsidRPr="00D07AAA" w:rsidP="00C60682">
      <w:pPr>
        <w:pStyle w:val="WNormal"/>
        <w:rPr>
          <w:lang w:val="en-GB"/>
        </w:rPr>
      </w:pPr>
      <w:r w:rsidRPr="00D07AAA">
        <w:rPr>
          <w:lang w:val="en-GB"/>
        </w:rPr>
        <w:t>Despite the continued Covid-19 related disruptions to business operations, Wärtsilä remains committed to R&amp;D activities. In line with the global trend towards decarbonising th</w:t>
      </w:r>
      <w:r w:rsidRPr="00D07AAA">
        <w:rPr>
          <w:lang w:val="en-GB"/>
        </w:rPr>
        <w:t>e energy and marine markets, further progress in future-proofing engine technology was demonstrated in 2021 by the launch of a major test programme towards carbon-free fuel solutions with hydrogen and ammonia. Wärtsilä expects to have an engine concept rea</w:t>
      </w:r>
      <w:r w:rsidRPr="00D07AAA">
        <w:rPr>
          <w:lang w:val="en-GB"/>
        </w:rPr>
        <w:t>dy for operating with pure ammonia fuel in 2023 and with pure hydrogen by 2025.</w:t>
      </w:r>
    </w:p>
    <w:p w:rsidR="008C7270" w:rsidRPr="00D07AAA" w:rsidP="00C60682">
      <w:pPr>
        <w:pStyle w:val="WNormal"/>
        <w:rPr>
          <w:lang w:val="en-GB"/>
        </w:rPr>
      </w:pPr>
      <w:r w:rsidRPr="00D07AAA">
        <w:rPr>
          <w:lang w:val="en-GB"/>
        </w:rPr>
        <w:t>While much of the decarbonisation work is still ahead, Wärtsilä already has solutions and technologies that enable 100% renewable power systems and fuel flexibility, thus suppo</w:t>
      </w:r>
      <w:r w:rsidRPr="00D07AAA">
        <w:rPr>
          <w:lang w:val="en-GB"/>
        </w:rPr>
        <w:t xml:space="preserve">rting decarbonisation. In 2021, Wärtsilä Energy launched 34SG Balancer, the optimal solution for balancing renewable power generation, and delivered the first units of the new modular Quantum platform for energy storage. Wärtsilä Marine Power </w:t>
      </w:r>
      <w:r w:rsidRPr="00D07AAA">
        <w:rPr>
          <w:lang w:val="en-GB"/>
        </w:rPr>
        <w:t xml:space="preserve">upgraded the </w:t>
      </w:r>
      <w:r w:rsidRPr="00D07AAA">
        <w:rPr>
          <w:lang w:val="en-GB"/>
        </w:rPr>
        <w:t>popular 20DF dual-fuel engine to deliver more power with less energy consumption, while its methane slip is lowered by as much as 40%. Wärtsilä Marine Systems is driving the development of maritime carbon capture and storage technologies and will be one of</w:t>
      </w:r>
      <w:r w:rsidRPr="00D07AAA">
        <w:rPr>
          <w:lang w:val="en-GB"/>
        </w:rPr>
        <w:t xml:space="preserve"> the leading partners in the LINCCS consortium, strengthening the decarbonisation pathway for shipping. Wärtsilä Voyage initiated partnerships and projects globally to support vessel and port service optimisation to enable sustainable shipping. Their digit</w:t>
      </w:r>
      <w:r w:rsidRPr="00D07AAA">
        <w:rPr>
          <w:lang w:val="en-GB"/>
        </w:rPr>
        <w:t>al systems, such as Navi-Port and Field Operations Solution, optimise the vessel journey and enable just-in-time arrival for ships, thereby saving fuel while reducing time at anchorage, and reducing greenhouse gas emissions.</w:t>
      </w:r>
    </w:p>
    <w:p w:rsidR="008C7270" w:rsidRPr="00D07AAA" w:rsidP="00C60682">
      <w:pPr>
        <w:pStyle w:val="WNormal"/>
        <w:rPr>
          <w:lang w:val="en-GB"/>
        </w:rPr>
      </w:pPr>
      <w:r w:rsidRPr="00D07AAA">
        <w:rPr>
          <w:lang w:val="en-GB"/>
        </w:rPr>
        <w:t xml:space="preserve">Wärtsilä regards collaboration </w:t>
      </w:r>
      <w:r w:rsidRPr="00D07AAA">
        <w:rPr>
          <w:lang w:val="en-GB"/>
        </w:rPr>
        <w:t>with industry stakeholders as an essential element in the development of technologies needed to meet changing market requirements. Joint efforts with our ecosystem included agreements aimed at utilising carbon-neutral fuels in both power production and mar</w:t>
      </w:r>
      <w:r w:rsidRPr="00D07AAA">
        <w:rPr>
          <w:lang w:val="en-GB"/>
        </w:rPr>
        <w:t xml:space="preserve">ine applications, and enhancing safety and efficiency in maritime operations. </w:t>
      </w:r>
    </w:p>
    <w:p w:rsidR="008C7270" w:rsidRPr="00D07AAA" w:rsidP="00C60682">
      <w:pPr>
        <w:pStyle w:val="WNormal"/>
        <w:rPr>
          <w:lang w:val="en-GB"/>
        </w:rPr>
      </w:pPr>
      <w:r w:rsidRPr="00D07AAA">
        <w:rPr>
          <w:lang w:val="en-GB"/>
        </w:rPr>
        <w:t xml:space="preserve">In 2021, Wärtsilä announced its commitment to ambitious </w:t>
      </w:r>
      <w:r>
        <w:rPr>
          <w:lang w:val="en-GB"/>
        </w:rPr>
        <w:t>decarbonisation</w:t>
      </w:r>
      <w:r w:rsidRPr="00D07AAA">
        <w:rPr>
          <w:lang w:val="en-GB"/>
        </w:rPr>
        <w:t xml:space="preserve"> targets. The company’s goal is that by 2030 it will become carbon-neutral in its own operations, and be a</w:t>
      </w:r>
      <w:r w:rsidRPr="00D07AAA">
        <w:rPr>
          <w:lang w:val="en-GB"/>
        </w:rPr>
        <w:t xml:space="preserve">ble to provide a product portfolio ready for zero-carbon fuels. These new targets demonstrate Wärtsilä’s commitment to a sustainable future. The company’s aim is to support its customers on their decarbonisation journey, and thus shape the decarbonisation </w:t>
      </w:r>
      <w:r w:rsidRPr="00D07AAA">
        <w:rPr>
          <w:lang w:val="en-GB"/>
        </w:rPr>
        <w:t>of the marine and energy sectors. Wärtsilä’s products and solutions will meet the most stringent environmental requirements, and the fuel flexibility of the engines powering these sectors is key to enabling the transformation. Naturally, Wärtsilä also need</w:t>
      </w:r>
      <w:r w:rsidRPr="00D07AAA">
        <w:rPr>
          <w:lang w:val="en-GB"/>
        </w:rPr>
        <w:t>s to do its part as an organisation and minimise its own environmental footprint.</w:t>
      </w:r>
    </w:p>
    <w:p w:rsidR="008C7270" w:rsidRPr="00D07AAA" w:rsidP="00C60682">
      <w:pPr>
        <w:pStyle w:val="WNormal"/>
        <w:rPr>
          <w:b/>
          <w:bCs/>
          <w:lang w:val="en-GB"/>
        </w:rPr>
      </w:pPr>
      <w:r w:rsidRPr="00D07AAA">
        <w:rPr>
          <w:lang w:val="en-GB"/>
        </w:rPr>
        <w:t xml:space="preserve">The health and safety of personnel is a continuous priority for Wärtsilä, and all the more important during the global Covid-19 pandemic. Wärtsilä maintains a diverse global </w:t>
      </w:r>
      <w:r w:rsidRPr="00D07AAA">
        <w:rPr>
          <w:lang w:val="en-GB"/>
        </w:rPr>
        <w:t>workforce with thousands of employees performing tasks onsite, either in the field or at customer premises. A global crisis response team and local country incident management teams continued to support the company in securing global mobility whilst observ</w:t>
      </w:r>
      <w:r w:rsidRPr="00D07AAA">
        <w:rPr>
          <w:lang w:val="en-GB"/>
        </w:rPr>
        <w:t>ing appropriate safety and precautionary measures. In addition, Wärtsilä established a global Wellbeing Committee, with the goal of improving the health, safety, and wellbeing of its personnel through effective leadership, activities, and a wellbeing-focus</w:t>
      </w:r>
      <w:r w:rsidRPr="00D07AAA">
        <w:rPr>
          <w:lang w:val="en-GB"/>
        </w:rPr>
        <w:t xml:space="preserve">ed culture. Zero lost-time injuries continues to be the company’s global target. During 2021, lost-time injury </w:t>
      </w:r>
      <w:r w:rsidRPr="00D07AAA">
        <w:rPr>
          <w:color w:val="auto"/>
          <w:lang w:val="en-GB"/>
        </w:rPr>
        <w:t xml:space="preserve">frequency was </w:t>
      </w:r>
      <w:r w:rsidRPr="00D07AAA" w:rsidR="00D07AAA">
        <w:rPr>
          <w:color w:val="auto"/>
          <w:lang w:val="en-GB"/>
        </w:rPr>
        <w:t>1</w:t>
      </w:r>
      <w:r w:rsidRPr="00D07AAA">
        <w:rPr>
          <w:color w:val="auto"/>
          <w:lang w:val="en-GB"/>
        </w:rPr>
        <w:t>.</w:t>
      </w:r>
      <w:r w:rsidRPr="00D07AAA" w:rsidR="00D07AAA">
        <w:rPr>
          <w:color w:val="auto"/>
          <w:lang w:val="en-GB"/>
        </w:rPr>
        <w:t>55</w:t>
      </w:r>
      <w:r w:rsidRPr="00D07AAA">
        <w:rPr>
          <w:color w:val="auto"/>
          <w:lang w:val="en-GB"/>
        </w:rPr>
        <w:t xml:space="preserve"> (2.03), which represents a decrease of </w:t>
      </w:r>
      <w:r w:rsidRPr="00D07AAA" w:rsidR="00D07AAA">
        <w:rPr>
          <w:color w:val="auto"/>
          <w:lang w:val="en-GB"/>
        </w:rPr>
        <w:t>24</w:t>
      </w:r>
      <w:r w:rsidRPr="00D07AAA">
        <w:rPr>
          <w:color w:val="auto"/>
          <w:lang w:val="en-GB"/>
        </w:rPr>
        <w:t>% compared to the previous year</w:t>
      </w:r>
      <w:r w:rsidRPr="00D07AAA">
        <w:rPr>
          <w:lang w:val="en-GB"/>
        </w:rPr>
        <w:t xml:space="preserve">. </w:t>
      </w:r>
    </w:p>
    <w:p w:rsidR="00505394" w:rsidRPr="00A95563" w:rsidP="009124E4">
      <w:pPr>
        <w:pStyle w:val="WHeadingException1"/>
      </w:pPr>
      <w:r w:rsidRPr="00A95563">
        <w:t>Financial targets and outcome in 2021</w:t>
      </w:r>
    </w:p>
    <w:p w:rsidR="00A009B4" w:rsidRPr="00D07AAA" w:rsidP="00C60682">
      <w:pPr>
        <w:pStyle w:val="WNormal"/>
        <w:rPr>
          <w:lang w:val="en-GB"/>
        </w:rPr>
      </w:pPr>
      <w:r w:rsidRPr="00D07AAA">
        <w:rPr>
          <w:lang w:val="en-GB"/>
        </w:rPr>
        <w:t xml:space="preserve">In 2021, </w:t>
      </w:r>
      <w:r w:rsidRPr="00D07AAA" w:rsidR="00E53B17">
        <w:rPr>
          <w:lang w:val="en-GB"/>
        </w:rPr>
        <w:t>Wärtsilä</w:t>
      </w:r>
      <w:r w:rsidRPr="00D07AAA">
        <w:rPr>
          <w:lang w:val="en-GB"/>
        </w:rPr>
        <w:t xml:space="preserve"> introduced new financial targets. Those </w:t>
      </w:r>
      <w:r w:rsidRPr="00D07AAA" w:rsidR="00E53B17">
        <w:rPr>
          <w:lang w:val="en-GB"/>
        </w:rPr>
        <w:t xml:space="preserve">include annual organic growth of 5% and an operating margin of 12%. Furthermore, the target is to maintain gearing below 0.50, and to pay a dividend of at least 50% of earnings per share over the cycle. </w:t>
      </w:r>
    </w:p>
    <w:p w:rsidR="00AD18E9" w:rsidRPr="00D07AAA" w:rsidP="00C60682">
      <w:pPr>
        <w:pStyle w:val="WNormal"/>
        <w:rPr>
          <w:lang w:val="en-GB"/>
        </w:rPr>
      </w:pPr>
      <w:r w:rsidRPr="00D07AAA">
        <w:rPr>
          <w:lang w:val="en-GB"/>
        </w:rPr>
        <w:t>Wärtsil</w:t>
      </w:r>
      <w:r w:rsidRPr="00D07AAA">
        <w:rPr>
          <w:lang w:val="en-GB"/>
        </w:rPr>
        <w:t xml:space="preserve">ä’s </w:t>
      </w:r>
      <w:r>
        <w:rPr>
          <w:lang w:val="en-GB"/>
        </w:rPr>
        <w:t>n</w:t>
      </w:r>
      <w:r w:rsidRPr="00D07AAA">
        <w:rPr>
          <w:lang w:val="en-GB"/>
        </w:rPr>
        <w:t xml:space="preserve">et sales for </w:t>
      </w:r>
      <w:r w:rsidRPr="00D07AAA">
        <w:rPr>
          <w:color w:val="auto"/>
          <w:lang w:val="en-GB"/>
        </w:rPr>
        <w:t xml:space="preserve">2021 </w:t>
      </w:r>
      <w:r w:rsidRPr="00D07AAA" w:rsidR="00D07AAA">
        <w:rPr>
          <w:color w:val="auto"/>
          <w:lang w:val="en-GB"/>
        </w:rPr>
        <w:t xml:space="preserve">increased </w:t>
      </w:r>
      <w:r w:rsidRPr="00D07AAA">
        <w:rPr>
          <w:color w:val="auto"/>
          <w:lang w:val="en-GB"/>
        </w:rPr>
        <w:t xml:space="preserve">by </w:t>
      </w:r>
      <w:r>
        <w:rPr>
          <w:color w:val="auto"/>
          <w:lang w:val="en-GB"/>
        </w:rPr>
        <w:t>6</w:t>
      </w:r>
      <w:r w:rsidRPr="00D07AAA">
        <w:rPr>
          <w:color w:val="auto"/>
          <w:lang w:val="en-GB"/>
        </w:rPr>
        <w:t>%</w:t>
      </w:r>
      <w:r>
        <w:rPr>
          <w:color w:val="auto"/>
          <w:lang w:val="en-GB"/>
        </w:rPr>
        <w:t xml:space="preserve"> organically</w:t>
      </w:r>
      <w:r w:rsidRPr="00D07AAA">
        <w:rPr>
          <w:color w:val="auto"/>
          <w:lang w:val="en-GB"/>
        </w:rPr>
        <w:t xml:space="preserve">. </w:t>
      </w:r>
      <w:r>
        <w:rPr>
          <w:color w:val="auto"/>
          <w:lang w:val="en-GB"/>
        </w:rPr>
        <w:t>O</w:t>
      </w:r>
      <w:r w:rsidRPr="00D07AAA">
        <w:rPr>
          <w:color w:val="auto"/>
          <w:lang w:val="en-GB"/>
        </w:rPr>
        <w:t xml:space="preserve">perating </w:t>
      </w:r>
      <w:r w:rsidRPr="00D07AAA">
        <w:rPr>
          <w:lang w:val="en-GB"/>
        </w:rPr>
        <w:t xml:space="preserve">result amounted to </w:t>
      </w:r>
      <w:r w:rsidRPr="002A406D">
        <w:rPr>
          <w:color w:val="auto"/>
          <w:lang w:val="en-GB"/>
        </w:rPr>
        <w:t xml:space="preserve">EUR </w:t>
      </w:r>
      <w:r w:rsidRPr="002A406D">
        <w:rPr>
          <w:color w:val="auto"/>
          <w:lang w:val="en-GB"/>
        </w:rPr>
        <w:t>314</w:t>
      </w:r>
      <w:r w:rsidRPr="002A406D">
        <w:rPr>
          <w:color w:val="auto"/>
          <w:lang w:val="en-GB"/>
        </w:rPr>
        <w:t xml:space="preserve"> million, which represents </w:t>
      </w:r>
      <w:r w:rsidRPr="002A406D">
        <w:rPr>
          <w:color w:val="auto"/>
          <w:lang w:val="en-GB"/>
        </w:rPr>
        <w:t>6.6</w:t>
      </w:r>
      <w:r w:rsidRPr="002A406D">
        <w:rPr>
          <w:color w:val="auto"/>
          <w:lang w:val="en-GB"/>
        </w:rPr>
        <w:t xml:space="preserve">% of net sales. Gearing was </w:t>
      </w:r>
      <w:r w:rsidRPr="002A406D">
        <w:rPr>
          <w:color w:val="auto"/>
          <w:lang w:val="en-GB"/>
        </w:rPr>
        <w:t>0.00</w:t>
      </w:r>
      <w:r w:rsidRPr="002A406D">
        <w:rPr>
          <w:color w:val="auto"/>
          <w:lang w:val="en-GB"/>
        </w:rPr>
        <w:t xml:space="preserve">. The Board of Directors' </w:t>
      </w:r>
      <w:r w:rsidRPr="002A406D" w:rsidR="001A2814">
        <w:rPr>
          <w:color w:val="auto"/>
          <w:lang w:val="en-GB"/>
        </w:rPr>
        <w:t>p</w:t>
      </w:r>
      <w:r w:rsidRPr="002A406D">
        <w:rPr>
          <w:color w:val="auto"/>
          <w:lang w:val="en-GB"/>
        </w:rPr>
        <w:t xml:space="preserve">roposed dividend of EUR </w:t>
      </w:r>
      <w:r w:rsidRPr="002A406D">
        <w:rPr>
          <w:color w:val="auto"/>
          <w:lang w:val="en-GB"/>
        </w:rPr>
        <w:t>0.24</w:t>
      </w:r>
      <w:r w:rsidRPr="002A406D">
        <w:rPr>
          <w:color w:val="auto"/>
          <w:lang w:val="en-GB"/>
        </w:rPr>
        <w:t xml:space="preserve"> </w:t>
      </w:r>
      <w:r w:rsidRPr="00D07AAA">
        <w:rPr>
          <w:lang w:val="en-GB"/>
        </w:rPr>
        <w:t xml:space="preserve">per share </w:t>
      </w:r>
      <w:r w:rsidRPr="00770383">
        <w:rPr>
          <w:color w:val="auto"/>
          <w:lang w:val="en-GB"/>
        </w:rPr>
        <w:t>represents 73.2</w:t>
      </w:r>
      <w:r w:rsidRPr="00770383">
        <w:rPr>
          <w:color w:val="auto"/>
          <w:lang w:val="en-GB"/>
        </w:rPr>
        <w:t xml:space="preserve">% of </w:t>
      </w:r>
      <w:r w:rsidRPr="00D07AAA">
        <w:rPr>
          <w:lang w:val="en-GB"/>
        </w:rPr>
        <w:t>operational earnings.</w:t>
      </w:r>
      <w:r w:rsidRPr="00A009B4" w:rsidR="001A2814">
        <w:rPr>
          <w:noProof/>
        </w:rPr>
        <mc:AlternateContent>
          <mc:Choice Requires="wps">
            <w:drawing>
              <wp:anchor distT="45720" distB="45720" distL="114300" distR="114300" simplePos="0" relativeHeight="251659264" behindDoc="0" locked="0" layoutInCell="1" allowOverlap="1">
                <wp:simplePos x="0" y="0"/>
                <wp:positionH relativeFrom="leftMargin">
                  <wp:posOffset>387985</wp:posOffset>
                </wp:positionH>
                <wp:positionV relativeFrom="bottomMargin">
                  <wp:posOffset>-1278255</wp:posOffset>
                </wp:positionV>
                <wp:extent cx="6473825" cy="1508760"/>
                <wp:effectExtent l="0" t="0" r="3175" b="0"/>
                <wp:wrapSquare wrapText="bothSides"/>
                <wp:docPr id="1994921172" name="Text Box 217"/>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6473825" cy="1508760"/>
                        </a:xfrm>
                        <a:prstGeom prst="rect">
                          <a:avLst/>
                        </a:prstGeom>
                        <a:solidFill>
                          <a:srgbClr val="FFFFFF"/>
                        </a:solidFill>
                        <a:ln w="9525">
                          <a:noFill/>
                          <a:miter lim="800000"/>
                          <a:headEnd/>
                          <a:tailEnd/>
                        </a:ln>
                      </wps:spPr>
                      <wps:txbx>
                        <w:txbxContent>
                          <w:tbl>
                            <w:tblPr>
                              <w:tblStyle w:val="TableGrid"/>
                              <w:tblW w:w="93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
                            <w:tblGrid>
                              <w:gridCol w:w="9302"/>
                            </w:tblGrid>
                            <w:tr>
                              <w:tblPrEx>
                                <w:tblW w:w="93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Ex>
                              <w:trPr>
                                <w:trHeight w:val="2662"/>
                              </w:trPr>
                              <w:tc>
                                <w:tcPr>
                                  <w:tcW w:w="9302" w:type="dxa"/>
                                  <w:hideMark/>
                                </w:tcPr>
                                <w:p w:rsidR="00505394" w:rsidRPr="00695062" w:rsidP="00ED3E1F">
                                  <w:pPr>
                                    <w:pStyle w:val="WHeadingException1"/>
                                    <w:rPr>
                                      <w:rStyle w:val="BookTitle"/>
                                      <w:sz w:val="16"/>
                                      <w:szCs w:val="16"/>
                                    </w:rPr>
                                  </w:pPr>
                                  <w:r w:rsidRPr="00800A23">
                                    <w:br w:type="column"/>
                                  </w:r>
                                  <w:r w:rsidRPr="00695062">
                                    <w:rPr>
                                      <w:rStyle w:val="BookTitle"/>
                                      <w:sz w:val="16"/>
                                      <w:szCs w:val="16"/>
                                    </w:rPr>
                                    <w:t>Target</w:t>
                                  </w:r>
                                </w:p>
                                <w:tbl>
                                  <w:tblPr>
                                    <w:tblStyle w:val="TableNormal"/>
                                    <w:tblCaption w:val="Table_Financial_targets_EN"/>
                                    <w:tblW w:w="9975" w:type="dxa"/>
                                    <w:tblLook w:val="0600"/>
                                  </w:tblPr>
                                  <w:tblGrid>
                                    <w:gridCol w:w="6105"/>
                                    <w:gridCol w:w="1935"/>
                                    <w:gridCol w:w="1935"/>
                                  </w:tblGrid>
                                  <w:tr>
                                    <w:tblPrEx>
                                      <w:tblW w:w="9975" w:type="dxa"/>
                                      <w:tblLook w:val="0600"/>
                                    </w:tblPrEx>
                                    <w:trPr>
                                      <w:trHeight w:hRule="exact" w:val="255"/>
                                    </w:trPr>
                                    <w:tc>
                                      <w:tcPr>
                                        <w:tcW w:w="6105" w:type="dxa"/>
                                        <w:tcBorders>
                                          <w:top w:val="nil"/>
                                          <w:left w:val="nil"/>
                                          <w:bottom w:val="single" w:sz="8" w:space="0" w:color="000000"/>
                                          <w:right w:val="nil"/>
                                          <w:tl2br w:val="nil"/>
                                          <w:tr2bl w:val="nil"/>
                                        </w:tcBorders>
                                        <w:shd w:val="clear" w:color="FFFFFF" w:fill="F0F4F6"/>
                                        <w:noWrap/>
                                        <w:tcMar>
                                          <w:left w:w="0" w:type="dxa"/>
                                          <w:right w:w="0" w:type="dxa"/>
                                        </w:tcMar>
                                        <w:textDirection w:val="lrTb"/>
                                        <w:tcFitText w:val="0"/>
                                        <w:vAlign w:val="center"/>
                                      </w:tcPr>
                                      <w:p>
                                        <w:pPr>
                                          <w:bidi w:val="0"/>
                                          <w:spacing w:before="0" w:beforeAutospacing="0" w:after="0" w:afterAutospacing="0" w:line="240" w:lineRule="auto"/>
                                          <w:jc w:val="left"/>
                                          <w:rPr>
                                            <w:rFonts w:ascii="Arial" w:eastAsia="Arial" w:hAnsi="Arial" w:cs="Arial"/>
                                            <w:b/>
                                            <w:i w:val="0"/>
                                            <w:strike w:val="0"/>
                                            <w:color w:val="000000"/>
                                            <w:sz w:val="15"/>
                                            <w:u w:val="none"/>
                                            <w:vertAlign w:val="baseline"/>
                                          </w:rPr>
                                        </w:pPr>
                                      </w:p>
                                    </w:tc>
                                    <w:tc>
                                      <w:tcPr>
                                        <w:tcW w:w="1935" w:type="dxa"/>
                                        <w:tcBorders>
                                          <w:top w:val="nil"/>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5"/>
                                            <w:u w:val="none"/>
                                            <w:vertAlign w:val="baseline"/>
                                          </w:rPr>
                                        </w:pPr>
                                        <w:r>
                                          <w:rPr>
                                            <w:rFonts w:ascii="Arial" w:eastAsia="Arial" w:hAnsi="Arial" w:cs="Arial"/>
                                            <w:b/>
                                            <w:i w:val="0"/>
                                            <w:strike w:val="0"/>
                                            <w:color w:val="000000"/>
                                            <w:sz w:val="15"/>
                                            <w:u w:val="none"/>
                                            <w:vertAlign w:val="baseline"/>
                                          </w:rPr>
                                          <w:t>Development in 2021</w:t>
                                        </w:r>
                                      </w:p>
                                    </w:tc>
                                    <w:tc>
                                      <w:tcPr>
                                        <w:tcW w:w="1935" w:type="dxa"/>
                                        <w:tcBorders>
                                          <w:top w:val="nil"/>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5"/>
                                            <w:u w:val="none"/>
                                            <w:vertAlign w:val="baseline"/>
                                          </w:rPr>
                                        </w:pPr>
                                        <w:r>
                                          <w:rPr>
                                            <w:rFonts w:ascii="Arial" w:eastAsia="Arial" w:hAnsi="Arial" w:cs="Arial"/>
                                            <w:b/>
                                            <w:i w:val="0"/>
                                            <w:strike w:val="0"/>
                                            <w:color w:val="000000"/>
                                            <w:sz w:val="15"/>
                                            <w:u w:val="none"/>
                                            <w:vertAlign w:val="baseline"/>
                                          </w:rPr>
                                          <w:t>Development in 2020</w:t>
                                        </w:r>
                                      </w:p>
                                    </w:tc>
                                  </w:tr>
                                  <w:tr>
                                    <w:tblPrEx>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hRule="exact" w:val="255"/>
                                    </w:trPr>
                                    <w:tc>
                                      <w:tcPr>
                                        <w:tcW w:w="6105"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Organic growth in net sales 5%</w:t>
                                        </w:r>
                                      </w:p>
                                    </w:tc>
                                    <w:tc>
                                      <w:tcPr>
                                        <w:tcW w:w="1935"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6%</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-9%</w:t>
                                        </w:r>
                                      </w:p>
                                    </w:tc>
                                  </w:tr>
                                  <w:tr>
                                    <w:tblPrEx>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hRule="exact" w:val="255"/>
                                    </w:trPr>
                                    <w:tc>
                                      <w:tcPr>
                                        <w:tcW w:w="610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Operating margin 12%</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6.6%</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5.1%</w:t>
                                        </w:r>
                                      </w:p>
                                    </w:tc>
                                  </w:tr>
                                  <w:tr>
                                    <w:tblPrEx>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hRule="exact" w:val="255"/>
                                    </w:trPr>
                                    <w:tc>
                                      <w:tcPr>
                                        <w:tcW w:w="610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Gearing below 0.50</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0.00</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0.18</w:t>
                                        </w:r>
                                      </w:p>
                                    </w:tc>
                                  </w:tr>
                                  <w:tr>
                                    <w:tblPrEx>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val="255"/>
                                    </w:trPr>
                                    <w:tc>
                                      <w:tcPr>
                                        <w:tcW w:w="6105" w:type="dxa"/>
                                        <w:tcBorders>
                                          <w:top w:val="single" w:sz="4" w:space="0" w:color="004B6B"/>
                                          <w:left w:val="nil"/>
                                          <w:bottom w:val="single" w:sz="4" w:space="0" w:color="004B6B"/>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Dividend payment at least 50% of earnings per share over the cycle</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000000"/>
                                            <w:sz w:val="14"/>
                                            <w:u w:val="none"/>
                                            <w:vertAlign w:val="baseline"/>
                                          </w:rPr>
                                        </w:pPr>
                                        <w:r>
                                          <w:rPr>
                                            <w:rFonts w:ascii="Arial" w:eastAsia="Arial" w:hAnsi="Arial" w:cs="Arial"/>
                                            <w:b w:val="0"/>
                                            <w:i w:val="0"/>
                                            <w:strike w:val="0"/>
                                            <w:color w:val="000000"/>
                                            <w:sz w:val="14"/>
                                            <w:u w:val="none"/>
                                            <w:vertAlign w:val="baseline"/>
                                          </w:rPr>
                                          <w:t>73.2%*</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88.2%</w:t>
                                        </w:r>
                                      </w:p>
                                    </w:tc>
                                  </w:tr>
                                  <w:tr>
                                    <w:tblPrEx>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val="255"/>
                                    </w:trPr>
                                    <w:tc>
                                      <w:tcPr>
                                        <w:tcW w:w="6105" w:type="dxa"/>
                                        <w:tcBorders>
                                          <w:top w:val="single" w:sz="4" w:space="0" w:color="004B6B"/>
                                          <w:left w:val="nil"/>
                                          <w:bottom w:val="nil"/>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*Proposal of the Board of Directors</w:t>
                                        </w:r>
                                      </w:p>
                                    </w:tc>
                                    <w:tc>
                                      <w:tcPr>
                                        <w:tcW w:w="1935" w:type="dxa"/>
                                        <w:tcBorders>
                                          <w:top w:val="single" w:sz="4" w:space="0" w:color="004B6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22"/>
                                            <w:u w:val="none"/>
                                            <w:vertAlign w:val="baseline"/>
                                          </w:rPr>
                                        </w:pPr>
                                      </w:p>
                                    </w:tc>
                                    <w:tc>
                                      <w:tcPr>
                                        <w:tcW w:w="1935" w:type="dxa"/>
                                        <w:tcBorders>
                                          <w:top w:val="single" w:sz="4" w:space="0" w:color="004B6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22"/>
                                            <w:u w:val="none"/>
                                            <w:vertAlign w:val="baseline"/>
                                          </w:rPr>
                                        </w:pPr>
                                      </w:p>
                                    </w:tc>
                                  </w:tr>
                                </w:tbl>
                                <w:p/>
                              </w:tc>
                            </w:tr>
                          </w:tbl>
                          <w:p w:rsidR="00505394" w:rsidRPr="004F6AFD" w:rsidP="00505394">
                            <w:pPr>
                              <w:rPr>
                                <w:lang w:val="en-GB"/>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17" o:spid="_x0000_s1025" type="#_x0000_t202" style="width:509.75pt;height:118.8pt;margin-top:-100.65pt;margin-left:30.55pt;mso-height-percent:0;mso-height-relative:margin;mso-position-horizontal-relative:left-margin-area;mso-position-vertical-relative:bottom-margin-area;mso-width-percent:0;mso-width-relative:margin;mso-wrap-distance-bottom:3.6pt;mso-wrap-distance-left:9pt;mso-wrap-distance-right:9pt;mso-wrap-distance-top:3.6pt;position:absolute;v-text-anchor:top;z-index:251658240" fillcolor="white" stroked="f" strokeweight="0.75pt">
                <v:textbox>
                  <w:txbxContent>
                    <w:tbl>
                      <w:tblPr>
                        <w:tblStyle w:val="TableGrid"/>
                        <w:tblW w:w="93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
                      <w:tblGrid>
                        <w:gridCol w:w="9302"/>
                      </w:tblGrid>
                      <w:tr>
                        <w:tblPrEx>
                          <w:tblW w:w="93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Ex>
                        <w:trPr>
                          <w:trHeight w:val="2662"/>
                        </w:trPr>
                        <w:tc>
                          <w:tcPr>
                            <w:tcW w:w="9302" w:type="dxa"/>
                            <w:hideMark/>
                          </w:tcPr>
                          <w:p w:rsidR="00505394" w:rsidRPr="00695062" w:rsidP="00ED3E1F">
                            <w:pPr>
                              <w:pStyle w:val="WHeadingException1"/>
                              <w:rPr>
                                <w:rStyle w:val="BookTitle"/>
                                <w:sz w:val="16"/>
                                <w:szCs w:val="16"/>
                              </w:rPr>
                            </w:pPr>
                            <w:r w:rsidRPr="00800A23">
                              <w:br w:type="column"/>
                            </w:r>
                            <w:r w:rsidRPr="00695062">
                              <w:rPr>
                                <w:rStyle w:val="BookTitle"/>
                                <w:sz w:val="16"/>
                                <w:szCs w:val="16"/>
                              </w:rPr>
                              <w:t>Target</w:t>
                            </w:r>
                          </w:p>
                          <w:tbl>
                            <w:tblPr>
                              <w:tblStyle w:val="TableNormal"/>
                              <w:tblCaption w:val="Table_Financial_targets_EN"/>
                              <w:tblW w:w="9975" w:type="dxa"/>
                              <w:tblLook w:val="0600"/>
                            </w:tblPr>
                            <w:tblGrid>
                              <w:gridCol w:w="6105"/>
                              <w:gridCol w:w="1935"/>
                              <w:gridCol w:w="1935"/>
                            </w:tblGrid>
                            <w:tr>
                              <w:tblPrEx>
                                <w:tblW w:w="9975" w:type="dxa"/>
                                <w:tblLook w:val="0600"/>
                              </w:tblPrEx>
                              <w:trPr>
                                <w:trHeight w:hRule="exact" w:val="255"/>
                              </w:trPr>
                              <w:tc>
                                <w:tcPr>
                                  <w:tcW w:w="6105" w:type="dxa"/>
                                  <w:tcBorders>
                                    <w:top w:val="nil"/>
                                    <w:left w:val="nil"/>
                                    <w:bottom w:val="single" w:sz="8" w:space="0" w:color="000000"/>
                                    <w:right w:val="nil"/>
                                    <w:tl2br w:val="nil"/>
                                    <w:tr2bl w:val="nil"/>
                                  </w:tcBorders>
                                  <w:shd w:val="clear" w:color="FFFFFF" w:fill="F0F4F6"/>
                                  <w:noWrap/>
                                  <w:tcMar>
                                    <w:left w:w="0" w:type="dxa"/>
                                    <w:right w:w="0" w:type="dxa"/>
                                  </w:tcMar>
                                  <w:textDirection w:val="lrTb"/>
                                  <w:tcFitText w:val="0"/>
                                  <w:vAlign w:val="center"/>
                                </w:tcPr>
                                <w:p>
                                  <w:pPr>
                                    <w:bidi w:val="0"/>
                                    <w:spacing w:before="0" w:beforeAutospacing="0" w:after="0" w:afterAutospacing="0" w:line="240" w:lineRule="auto"/>
                                    <w:jc w:val="left"/>
                                    <w:rPr>
                                      <w:rFonts w:ascii="Arial" w:eastAsia="Arial" w:hAnsi="Arial" w:cs="Arial"/>
                                      <w:b/>
                                      <w:i w:val="0"/>
                                      <w:strike w:val="0"/>
                                      <w:color w:val="000000"/>
                                      <w:sz w:val="15"/>
                                      <w:u w:val="none"/>
                                      <w:vertAlign w:val="baseline"/>
                                    </w:rPr>
                                  </w:pPr>
                                </w:p>
                              </w:tc>
                              <w:tc>
                                <w:tcPr>
                                  <w:tcW w:w="1935" w:type="dxa"/>
                                  <w:tcBorders>
                                    <w:top w:val="nil"/>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5"/>
                                      <w:u w:val="none"/>
                                      <w:vertAlign w:val="baseline"/>
                                    </w:rPr>
                                  </w:pPr>
                                  <w:r>
                                    <w:rPr>
                                      <w:rFonts w:ascii="Arial" w:eastAsia="Arial" w:hAnsi="Arial" w:cs="Arial"/>
                                      <w:b/>
                                      <w:i w:val="0"/>
                                      <w:strike w:val="0"/>
                                      <w:color w:val="000000"/>
                                      <w:sz w:val="15"/>
                                      <w:u w:val="none"/>
                                      <w:vertAlign w:val="baseline"/>
                                    </w:rPr>
                                    <w:t>Development in 2021</w:t>
                                  </w:r>
                                </w:p>
                              </w:tc>
                              <w:tc>
                                <w:tcPr>
                                  <w:tcW w:w="1935" w:type="dxa"/>
                                  <w:tcBorders>
                                    <w:top w:val="nil"/>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5"/>
                                      <w:u w:val="none"/>
                                      <w:vertAlign w:val="baseline"/>
                                    </w:rPr>
                                  </w:pPr>
                                  <w:r>
                                    <w:rPr>
                                      <w:rFonts w:ascii="Arial" w:eastAsia="Arial" w:hAnsi="Arial" w:cs="Arial"/>
                                      <w:b/>
                                      <w:i w:val="0"/>
                                      <w:strike w:val="0"/>
                                      <w:color w:val="000000"/>
                                      <w:sz w:val="15"/>
                                      <w:u w:val="none"/>
                                      <w:vertAlign w:val="baseline"/>
                                    </w:rPr>
                                    <w:t>Development in 2020</w:t>
                                  </w:r>
                                </w:p>
                              </w:tc>
                            </w:tr>
                            <w:tr>
                              <w:tblPrEx>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hRule="exact" w:val="255"/>
                              </w:trPr>
                              <w:tc>
                                <w:tcPr>
                                  <w:tcW w:w="6105"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Organic growth in net sales 5%</w:t>
                                  </w:r>
                                </w:p>
                              </w:tc>
                              <w:tc>
                                <w:tcPr>
                                  <w:tcW w:w="1935"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6%</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-9%</w:t>
                                  </w:r>
                                </w:p>
                              </w:tc>
                            </w:tr>
                            <w:tr>
                              <w:tblPrEx>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hRule="exact" w:val="255"/>
                              </w:trPr>
                              <w:tc>
                                <w:tcPr>
                                  <w:tcW w:w="610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Operating margin 12%</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6.6%</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5.1%</w:t>
                                  </w:r>
                                </w:p>
                              </w:tc>
                            </w:tr>
                            <w:tr>
                              <w:tblPrEx>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hRule="exact" w:val="255"/>
                              </w:trPr>
                              <w:tc>
                                <w:tcPr>
                                  <w:tcW w:w="610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Gearing below 0.50</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0.00</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0.18</w:t>
                                  </w:r>
                                </w:p>
                              </w:tc>
                            </w:tr>
                            <w:tr>
                              <w:tblPrEx>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val="255"/>
                              </w:trPr>
                              <w:tc>
                                <w:tcPr>
                                  <w:tcW w:w="6105" w:type="dxa"/>
                                  <w:tcBorders>
                                    <w:top w:val="single" w:sz="4" w:space="0" w:color="004B6B"/>
                                    <w:left w:val="nil"/>
                                    <w:bottom w:val="single" w:sz="4" w:space="0" w:color="004B6B"/>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Dividend payment at least 50% of earnings per share over the cycle</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000000"/>
                                      <w:sz w:val="14"/>
                                      <w:u w:val="none"/>
                                      <w:vertAlign w:val="baseline"/>
                                    </w:rPr>
                                  </w:pPr>
                                  <w:r>
                                    <w:rPr>
                                      <w:rFonts w:ascii="Arial" w:eastAsia="Arial" w:hAnsi="Arial" w:cs="Arial"/>
                                      <w:b w:val="0"/>
                                      <w:i w:val="0"/>
                                      <w:strike w:val="0"/>
                                      <w:color w:val="000000"/>
                                      <w:sz w:val="14"/>
                                      <w:u w:val="none"/>
                                      <w:vertAlign w:val="baseline"/>
                                    </w:rPr>
                                    <w:t>73.2%*</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88.2%</w:t>
                                  </w:r>
                                </w:p>
                              </w:tc>
                            </w:tr>
                            <w:tr>
                              <w:tblPrEx>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val="255"/>
                              </w:trPr>
                              <w:tc>
                                <w:tcPr>
                                  <w:tcW w:w="6105" w:type="dxa"/>
                                  <w:tcBorders>
                                    <w:top w:val="single" w:sz="4" w:space="0" w:color="004B6B"/>
                                    <w:left w:val="nil"/>
                                    <w:bottom w:val="nil"/>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*Proposal of the Board of Directors</w:t>
                                  </w:r>
                                </w:p>
                              </w:tc>
                              <w:tc>
                                <w:tcPr>
                                  <w:tcW w:w="1935" w:type="dxa"/>
                                  <w:tcBorders>
                                    <w:top w:val="single" w:sz="4" w:space="0" w:color="004B6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22"/>
                                      <w:u w:val="none"/>
                                      <w:vertAlign w:val="baseline"/>
                                    </w:rPr>
                                  </w:pPr>
                                </w:p>
                              </w:tc>
                              <w:tc>
                                <w:tcPr>
                                  <w:tcW w:w="1935" w:type="dxa"/>
                                  <w:tcBorders>
                                    <w:top w:val="single" w:sz="4" w:space="0" w:color="004B6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22"/>
                                      <w:u w:val="none"/>
                                      <w:vertAlign w:val="baseline"/>
                                    </w:rPr>
                                  </w:pPr>
                                </w:p>
                              </w:tc>
                            </w:tr>
                          </w:tbl>
                          <w:p/>
                        </w:tc>
                      </w:tr>
                    </w:tbl>
                    <w:p w:rsidR="00505394" w:rsidRPr="004F6AFD" w:rsidP="00505394">
                      <w:pPr>
                        <w:rPr>
                          <w:lang w:val="en-GB"/>
                        </w:rPr>
                      </w:pPr>
                    </w:p>
                  </w:txbxContent>
                </v:textbox>
                <w10:wrap type="square"/>
              </v:shape>
            </w:pict>
          </mc:Fallback>
        </mc:AlternateContent>
      </w:r>
    </w:p>
    <w:p w:rsidR="007368A0" w:rsidRPr="001D25F6" w:rsidP="00BE4DA7" w14:paraId="7E6ECC26" w14:textId="501AA420">
      <w:pPr>
        <w:pStyle w:val="WHeading20"/>
      </w:pPr>
      <w:bookmarkStart w:id="4" w:name="RG_MARKER_7284"/>
      <w:r w:rsidRPr="001D25F6">
        <w:t xml:space="preserve">THE YEAR </w:t>
      </w:r>
      <w:bookmarkEnd w:id="4"/>
      <w:r>
        <w:t>2021</w:t>
      </w:r>
    </w:p>
    <w:p w:rsidR="00DE0553" w:rsidRPr="00D91D7D" w:rsidP="008001D0">
      <w:pPr>
        <w:pStyle w:val="WHeading3"/>
        <w:spacing w:before="0"/>
        <w:rPr>
          <w:b/>
          <w:bCs/>
          <w:sz w:val="17"/>
          <w:szCs w:val="17"/>
        </w:rPr>
      </w:pPr>
      <w:bookmarkStart w:id="5" w:name="RG_MARKER_7502"/>
      <w:r w:rsidRPr="00D91D7D">
        <w:rPr>
          <w:b/>
          <w:bCs/>
          <w:sz w:val="17"/>
          <w:szCs w:val="17"/>
        </w:rPr>
        <w:t>Operating environment</w:t>
      </w:r>
      <w:bookmarkEnd w:id="5"/>
    </w:p>
    <w:p w:rsidR="00871A6A" w:rsidRPr="00D91D7D" w:rsidP="00160872">
      <w:pPr>
        <w:pStyle w:val="WHeading4"/>
        <w:spacing w:before="0" w:after="0"/>
        <w:rPr>
          <w:b/>
          <w:bCs/>
          <w:color w:val="0F162B"/>
          <w:sz w:val="16"/>
          <w:szCs w:val="16"/>
        </w:rPr>
      </w:pPr>
      <w:r w:rsidRPr="00D91D7D">
        <w:rPr>
          <w:b/>
          <w:bCs/>
          <w:color w:val="0F162B"/>
          <w:sz w:val="16"/>
          <w:szCs w:val="16"/>
        </w:rPr>
        <w:t>Marine</w:t>
      </w:r>
    </w:p>
    <w:p w:rsidR="00A207A2" w:rsidRPr="00A207A2" w:rsidP="00A207A2">
      <w:pPr>
        <w:pStyle w:val="Wnormal0"/>
        <w:rPr>
          <w:sz w:val="16"/>
          <w:szCs w:val="16"/>
        </w:rPr>
      </w:pPr>
      <w:r w:rsidRPr="00A207A2">
        <w:rPr>
          <w:sz w:val="16"/>
          <w:szCs w:val="16"/>
        </w:rPr>
        <w:t>The shipping and shipbuilding markets were characterised by mixed activity levels across different vessel segments during 2021. Altogether 1,855 contracts for new vessels were registered in the review period January–December (815 in the corresponding perio</w:t>
      </w:r>
      <w:r w:rsidRPr="00A207A2">
        <w:rPr>
          <w:sz w:val="16"/>
          <w:szCs w:val="16"/>
        </w:rPr>
        <w:t>d last year, excluding late reporting of contracts), largely driven by containerships. Growing and pent-up demand, along with logistical disruptions, has resulted in a shortage of available tonnage in the containership, gas carrier, and bulker sectors, and</w:t>
      </w:r>
      <w:r w:rsidRPr="00A207A2">
        <w:rPr>
          <w:sz w:val="16"/>
          <w:szCs w:val="16"/>
        </w:rPr>
        <w:t xml:space="preserve"> has pushed earnings and newbuild contracting to levels exceeding the pre-Covid era. The surge in newbuild ordering has supported the forward cover of larger shipyard groups, which have managed to mitigate the impact of a rapid increase in raw material cos</w:t>
      </w:r>
      <w:r w:rsidRPr="00A207A2">
        <w:rPr>
          <w:sz w:val="16"/>
          <w:szCs w:val="16"/>
        </w:rPr>
        <w:t xml:space="preserve">ts by increasing the price for newbuild vessels. However, high earnings and tonnage demand have led to postponements of activities that require dry-docking, such as scrubber retrofits. At the same time, the progress in Covid-19 vaccination programmes, and </w:t>
      </w:r>
      <w:r w:rsidRPr="00A207A2">
        <w:rPr>
          <w:sz w:val="16"/>
          <w:szCs w:val="16"/>
        </w:rPr>
        <w:t>the lifting of travel restrictions in key cruise locations have resulted in further reactivation of the cruise fleet. However, the impact of the Omicron virus variant over time remains an uncertainty. Newbuild</w:t>
      </w:r>
      <w:r>
        <w:rPr>
          <w:sz w:val="16"/>
          <w:szCs w:val="16"/>
        </w:rPr>
        <w:t xml:space="preserve"> cruise</w:t>
      </w:r>
      <w:r w:rsidRPr="00A207A2">
        <w:rPr>
          <w:sz w:val="16"/>
          <w:szCs w:val="16"/>
        </w:rPr>
        <w:t xml:space="preserve"> activity</w:t>
      </w:r>
      <w:r>
        <w:rPr>
          <w:sz w:val="16"/>
          <w:szCs w:val="16"/>
        </w:rPr>
        <w:t xml:space="preserve"> is still</w:t>
      </w:r>
      <w:r w:rsidRPr="00A207A2">
        <w:rPr>
          <w:sz w:val="16"/>
          <w:szCs w:val="16"/>
        </w:rPr>
        <w:t xml:space="preserve"> limited</w:t>
      </w:r>
      <w:r>
        <w:rPr>
          <w:sz w:val="16"/>
          <w:szCs w:val="16"/>
        </w:rPr>
        <w:t>,</w:t>
      </w:r>
      <w:r w:rsidRPr="00A207A2">
        <w:rPr>
          <w:sz w:val="16"/>
          <w:szCs w:val="16"/>
        </w:rPr>
        <w:t xml:space="preserve"> and utilisat</w:t>
      </w:r>
      <w:r w:rsidRPr="00A207A2">
        <w:rPr>
          <w:sz w:val="16"/>
          <w:szCs w:val="16"/>
        </w:rPr>
        <w:t>ion rates remain below 2019 levels.</w:t>
      </w:r>
    </w:p>
    <w:p w:rsidR="00A207A2" w:rsidRPr="00A207A2" w:rsidP="00A207A2">
      <w:pPr>
        <w:pStyle w:val="Wnormal0"/>
        <w:rPr>
          <w:sz w:val="16"/>
          <w:szCs w:val="16"/>
        </w:rPr>
      </w:pPr>
      <w:r w:rsidRPr="00A207A2">
        <w:rPr>
          <w:sz w:val="16"/>
          <w:szCs w:val="16"/>
        </w:rPr>
        <w:t xml:space="preserve">The most attractive vessel segments for Wärtsilä, namely specialised tonnage, have recovered from the turmoil caused by the pandemic to a varying degree. The </w:t>
      </w:r>
      <w:r w:rsidRPr="0007452E">
        <w:rPr>
          <w:sz w:val="16"/>
          <w:szCs w:val="16"/>
        </w:rPr>
        <w:t xml:space="preserve">reactivation of cruise vessels </w:t>
      </w:r>
      <w:r w:rsidRPr="00A207A2">
        <w:rPr>
          <w:sz w:val="16"/>
          <w:szCs w:val="16"/>
        </w:rPr>
        <w:t>significantly improved during t</w:t>
      </w:r>
      <w:r w:rsidRPr="00A207A2">
        <w:rPr>
          <w:sz w:val="16"/>
          <w:szCs w:val="16"/>
        </w:rPr>
        <w:t xml:space="preserve">he second half of the year, as </w:t>
      </w:r>
      <w:r w:rsidRPr="00A207A2">
        <w:rPr>
          <w:sz w:val="16"/>
          <w:szCs w:val="16"/>
        </w:rPr>
        <w:t>operators resumed sailing. As at the end of December, around 70% of the cruise fleet capacity was active, up from around 50% at the end of September, and around 20% at the end of June. The ferry market continues on a pos</w:t>
      </w:r>
      <w:r w:rsidRPr="00A207A2">
        <w:rPr>
          <w:sz w:val="16"/>
          <w:szCs w:val="16"/>
        </w:rPr>
        <w:t>itive trend, although passenger travelling is still somewhat limited due to Covid-19 related restrictions. Activity in the offshore oil and gas segment marginally improved, supported by a slight rise in vessel demand and elevated demolition activity. The d</w:t>
      </w:r>
      <w:r w:rsidRPr="00A207A2">
        <w:rPr>
          <w:sz w:val="16"/>
          <w:szCs w:val="16"/>
        </w:rPr>
        <w:t>emand for offshore construction-related vessels, such as wind turbine installation vessels has improved, thanks to strong growth in active offshore wind farms. The LNG (liquified natural gas) carrier sector remains healthy, as inventories have been at reco</w:t>
      </w:r>
      <w:r w:rsidRPr="00A207A2">
        <w:rPr>
          <w:sz w:val="16"/>
          <w:szCs w:val="16"/>
        </w:rPr>
        <w:t>rd-low levels, thus supporting LNG trade and the demand for tonnage, regardless of a strong increase in gas prices. The container shipping markets have continued to see extraordinary market conditions. Severe port congestion and widespread logistical disru</w:t>
      </w:r>
      <w:r w:rsidRPr="00A207A2">
        <w:rPr>
          <w:sz w:val="16"/>
          <w:szCs w:val="16"/>
        </w:rPr>
        <w:t xml:space="preserve">ption, alongside firm demand, have led to further new records in freight and charter rates, as well as newbuild ordering. The tanker market continued to face challenges with weak demand, especially in the crude sector. </w:t>
      </w:r>
    </w:p>
    <w:p w:rsidR="00504C34" w:rsidRPr="00D91D7D" w:rsidP="00A207A2">
      <w:pPr>
        <w:pStyle w:val="Wnormal0"/>
        <w:rPr>
          <w:sz w:val="16"/>
          <w:szCs w:val="16"/>
        </w:rPr>
      </w:pPr>
      <w:r w:rsidRPr="00A207A2">
        <w:rPr>
          <w:sz w:val="16"/>
          <w:szCs w:val="16"/>
        </w:rPr>
        <w:t>The acceleration of environmental co</w:t>
      </w:r>
      <w:r w:rsidRPr="00A207A2">
        <w:rPr>
          <w:sz w:val="16"/>
          <w:szCs w:val="16"/>
        </w:rPr>
        <w:t xml:space="preserve">ncerns remains the main underlying trend, as the regulatory framework and wider policy announcements are being ramped up from political regulators, cargo owners, and financiers, all of whom are building pressure to move faster than the current targets set </w:t>
      </w:r>
      <w:r w:rsidRPr="00A207A2">
        <w:rPr>
          <w:sz w:val="16"/>
          <w:szCs w:val="16"/>
        </w:rPr>
        <w:t>by the International Maritime Organisation (IMO). In July, the European Commission adopted a package of proposals (‘Fit for 55’) to cut greenhouse gas (GHG) emissions by at least 55% from 1990 levels by 2030. One of the many proposals is to include shippin</w:t>
      </w:r>
      <w:r w:rsidRPr="00A207A2">
        <w:rPr>
          <w:sz w:val="16"/>
          <w:szCs w:val="16"/>
        </w:rPr>
        <w:t xml:space="preserve">g in the EU Emissions Trading System from 2023. Another is the FuelEU Maritime Initiative, which aims at increasing the adoption of cleaner technologies and sustainable alternative fuels by imposing a limit on the GHG intensity of energy used by ships. As </w:t>
      </w:r>
      <w:r w:rsidRPr="00A207A2">
        <w:rPr>
          <w:sz w:val="16"/>
          <w:szCs w:val="16"/>
        </w:rPr>
        <w:t>the global pressure to find solutions to stop climate change builds, ship owners are considering a number of options, including slow steaming, energy saving devices, voyage optimisation solutions, hybrid and full-electric power systems, and alternative fue</w:t>
      </w:r>
      <w:r w:rsidRPr="00A207A2">
        <w:rPr>
          <w:sz w:val="16"/>
          <w:szCs w:val="16"/>
        </w:rPr>
        <w:t>ls. The transition to cleaner fuels has already started, with 384 orders placed globally for alternative fuel capable vessels, representing 21% (17%) of all newbuild contracting in the review period January–December. LNG is the dominant choice and is gaini</w:t>
      </w:r>
      <w:r w:rsidRPr="00A207A2">
        <w:rPr>
          <w:sz w:val="16"/>
          <w:szCs w:val="16"/>
        </w:rPr>
        <w:t xml:space="preserve">ng further traction, although other alternative fuels are slowly emerging. The price differential between high and low-sulphur fuels </w:t>
      </w:r>
      <w:r w:rsidRPr="00A207A2">
        <w:rPr>
          <w:sz w:val="16"/>
          <w:szCs w:val="16"/>
        </w:rPr>
        <w:t xml:space="preserve">increased </w:t>
      </w:r>
      <w:r w:rsidRPr="00641A34">
        <w:rPr>
          <w:sz w:val="16"/>
          <w:szCs w:val="16"/>
        </w:rPr>
        <w:t>throughout the year</w:t>
      </w:r>
      <w:r>
        <w:rPr>
          <w:sz w:val="16"/>
          <w:szCs w:val="16"/>
        </w:rPr>
        <w:t xml:space="preserve"> </w:t>
      </w:r>
      <w:r w:rsidRPr="00A207A2">
        <w:rPr>
          <w:sz w:val="16"/>
          <w:szCs w:val="16"/>
        </w:rPr>
        <w:t>to USD 150 per tonne</w:t>
      </w:r>
      <w:r w:rsidRPr="00A207A2">
        <w:rPr>
          <w:sz w:val="16"/>
          <w:szCs w:val="16"/>
        </w:rPr>
        <w:t xml:space="preserve">. The </w:t>
      </w:r>
      <w:r w:rsidRPr="00A207A2">
        <w:rPr>
          <w:sz w:val="16"/>
          <w:szCs w:val="16"/>
        </w:rPr>
        <w:t>interest in scrubber installations continues to be mostly driven by newbuilds, with orders recorded for 231 vessels globally in 2021. Scrubber retrofitting activity continued to be muted.</w:t>
      </w:r>
    </w:p>
    <w:p w:rsidR="00871A6A" w:rsidRPr="00D91D7D" w:rsidP="005C7E88">
      <w:pPr>
        <w:pStyle w:val="WHeading4"/>
        <w:spacing w:before="0" w:after="0"/>
        <w:rPr>
          <w:b/>
          <w:bCs/>
          <w:color w:val="0F162B"/>
          <w:sz w:val="16"/>
          <w:szCs w:val="16"/>
        </w:rPr>
      </w:pPr>
      <w:r w:rsidRPr="00D91D7D">
        <w:rPr>
          <w:b/>
          <w:bCs/>
          <w:color w:val="0F162B"/>
          <w:sz w:val="16"/>
          <w:szCs w:val="16"/>
        </w:rPr>
        <w:t>Energy</w:t>
      </w:r>
    </w:p>
    <w:p w:rsidR="00A207A2" w:rsidRPr="00A207A2" w:rsidP="00A207A2">
      <w:pPr>
        <w:pStyle w:val="Wnormal0"/>
        <w:rPr>
          <w:bCs/>
          <w:sz w:val="16"/>
          <w:szCs w:val="16"/>
        </w:rPr>
      </w:pPr>
      <w:r w:rsidRPr="00A207A2">
        <w:rPr>
          <w:bCs/>
          <w:sz w:val="16"/>
          <w:szCs w:val="16"/>
        </w:rPr>
        <w:t>The global liquid and gas fuelled power plant markets were re</w:t>
      </w:r>
      <w:r w:rsidRPr="00A207A2">
        <w:rPr>
          <w:bCs/>
          <w:sz w:val="16"/>
          <w:szCs w:val="16"/>
        </w:rPr>
        <w:t xml:space="preserve">covering </w:t>
      </w:r>
      <w:r w:rsidRPr="00A207A2">
        <w:rPr>
          <w:sz w:val="16"/>
          <w:szCs w:val="16"/>
        </w:rPr>
        <w:t xml:space="preserve">towards the end of </w:t>
      </w:r>
      <w:r w:rsidRPr="00A207A2">
        <w:rPr>
          <w:bCs/>
          <w:sz w:val="16"/>
          <w:szCs w:val="16"/>
        </w:rPr>
        <w:t>2021, despite the pandemic and the resulting weakening of the investment environment. While the market situation is improving, customers still continue to postpone investments due to the prevailing uncertainty regarding the dura</w:t>
      </w:r>
      <w:r w:rsidRPr="00A207A2">
        <w:rPr>
          <w:bCs/>
          <w:sz w:val="16"/>
          <w:szCs w:val="16"/>
        </w:rPr>
        <w:t xml:space="preserve">tion, development, and economic impacts of the pandemic. As vaccination programmes in a large part of our core markets move slowly, full recovery will most likely take time. Additionally, energy and climate policies are being developed and reviewed around </w:t>
      </w:r>
      <w:r w:rsidRPr="00A207A2">
        <w:rPr>
          <w:bCs/>
          <w:sz w:val="16"/>
          <w:szCs w:val="16"/>
        </w:rPr>
        <w:t>the world to drive more ambitious decarbonisation targets, and utilities continue to update their investment strategies, which is causing uncertainty and delays in decision making. The vast majority of global greenhouse gas emissions is targeted by nationa</w:t>
      </w:r>
      <w:r w:rsidRPr="00A207A2">
        <w:rPr>
          <w:bCs/>
          <w:sz w:val="16"/>
          <w:szCs w:val="16"/>
        </w:rPr>
        <w:t>l pledges and net-zero targets, but detailed plans and strategies to cut emissions already during this decade are still in the making. In the energy storage markets, activity has continued at a good level, driven by the increasing need for short-term flexi</w:t>
      </w:r>
      <w:r w:rsidRPr="00A207A2">
        <w:rPr>
          <w:bCs/>
          <w:sz w:val="16"/>
          <w:szCs w:val="16"/>
        </w:rPr>
        <w:t>ble capacity in power systems with a high share of renewables. Going forward, the increasing amount of intermittent renewable energy in power systems is expected to bring forward the need for various flexible solutions, such as energy storage and balancing</w:t>
      </w:r>
      <w:r w:rsidRPr="00A207A2">
        <w:rPr>
          <w:bCs/>
          <w:sz w:val="16"/>
          <w:szCs w:val="16"/>
        </w:rPr>
        <w:t xml:space="preserve"> power plants. Financial stimuli by governments and financial institutions to the energy sector are intended to support investments in green energy, but the execution of such plans on a wider scale is still pending. Demand for services was at a good level,</w:t>
      </w:r>
      <w:r w:rsidRPr="00A207A2">
        <w:rPr>
          <w:bCs/>
          <w:sz w:val="16"/>
          <w:szCs w:val="16"/>
        </w:rPr>
        <w:t xml:space="preserve"> and customers continued to show interest in long-term agreements, thus providing stability to the business that is lumpy by nature.</w:t>
      </w:r>
    </w:p>
    <w:p w:rsidR="00871A6A" w:rsidRPr="00D91D7D" w:rsidP="00A207A2">
      <w:pPr>
        <w:pStyle w:val="Wnormal0"/>
        <w:rPr>
          <w:sz w:val="16"/>
          <w:szCs w:val="16"/>
        </w:rPr>
      </w:pPr>
      <w:r w:rsidRPr="00A207A2">
        <w:rPr>
          <w:bCs/>
          <w:sz w:val="16"/>
          <w:szCs w:val="16"/>
        </w:rPr>
        <w:t>Wärtsilä’s market share</w:t>
      </w:r>
      <w:r>
        <w:rPr>
          <w:bCs/>
          <w:sz w:val="16"/>
          <w:szCs w:val="16"/>
        </w:rPr>
        <w:t xml:space="preserve"> in </w:t>
      </w:r>
      <w:r w:rsidRPr="00A207A2">
        <w:rPr>
          <w:bCs/>
          <w:sz w:val="16"/>
          <w:szCs w:val="16"/>
        </w:rPr>
        <w:t xml:space="preserve">the up to 500 MW market segment decreased to 5% (6), while global orders </w:t>
      </w:r>
      <w:r w:rsidRPr="00A207A2">
        <w:rPr>
          <w:bCs/>
          <w:sz w:val="16"/>
          <w:szCs w:val="16"/>
        </w:rPr>
        <w:t xml:space="preserve">for natural gas and liquid power plants increased by 10% to 19.2 GW during the twelve-month period ending in September 2021 (17.4 GW at the end of June). Global orders include gas turbine and Wärtsilä orders with prime movers over 5 MW in size. </w:t>
      </w:r>
      <w:r w:rsidRPr="00A207A2">
        <w:rPr>
          <w:bCs/>
          <w:sz w:val="16"/>
          <w:szCs w:val="16"/>
          <w:lang w:val="fi-FI"/>
        </w:rPr>
        <w:t>The data is</w:t>
      </w:r>
      <w:r w:rsidRPr="00A207A2">
        <w:rPr>
          <w:bCs/>
          <w:sz w:val="16"/>
          <w:szCs w:val="16"/>
          <w:lang w:val="fi-FI"/>
        </w:rPr>
        <w:t xml:space="preserve"> gathered from the McCoy Power Report.</w:t>
      </w:r>
    </w:p>
    <w:p w:rsidR="00A526E2" w:rsidRPr="004A74E2" w:rsidP="008E5C34" w14:paraId="7672B04E" w14:textId="77777777">
      <w:pPr>
        <w:pStyle w:val="WHeading3"/>
        <w:rPr>
          <w:szCs w:val="17"/>
        </w:rPr>
      </w:pPr>
      <w:bookmarkStart w:id="6" w:name="RG_MARKER_7476"/>
      <w:r w:rsidRPr="004A74E2">
        <w:rPr>
          <w:szCs w:val="17"/>
        </w:rPr>
        <w:t>Order intake and order book</w:t>
      </w:r>
      <w:bookmarkEnd w:id="6"/>
    </w:p>
    <w:p w:rsidR="00B425AF" w:rsidRPr="006E3732" w:rsidP="00B425AF" w14:paraId="28E288B6" w14:textId="45E82C89">
      <w:pPr>
        <w:pStyle w:val="Wnormal0"/>
        <w:rPr>
          <w:color w:val="auto"/>
          <w:sz w:val="16"/>
          <w:lang w:val="en-GB"/>
        </w:rPr>
      </w:pPr>
      <w:r w:rsidRPr="006E3732">
        <w:rPr>
          <w:color w:val="auto"/>
          <w:sz w:val="16"/>
          <w:lang w:val="en-GB"/>
        </w:rPr>
        <w:t xml:space="preserve">Wärtsilä’s order intake in </w:t>
      </w:r>
      <w:r w:rsidRPr="006E3732">
        <w:rPr>
          <w:color w:val="auto"/>
          <w:sz w:val="16"/>
          <w:lang w:val="en-GB"/>
        </w:rPr>
        <w:t>2021</w:t>
      </w:r>
      <w:r w:rsidRPr="006E3732">
        <w:rPr>
          <w:color w:val="auto"/>
          <w:sz w:val="16"/>
          <w:lang w:val="en-GB"/>
        </w:rPr>
        <w:t xml:space="preserve"> </w:t>
      </w:r>
      <w:r w:rsidRPr="006E3732">
        <w:rPr>
          <w:color w:val="auto"/>
          <w:sz w:val="16"/>
          <w:lang w:val="en-GB"/>
        </w:rPr>
        <w:t>increased by 32% to</w:t>
      </w:r>
      <w:r w:rsidRPr="006E3732">
        <w:rPr>
          <w:color w:val="auto"/>
          <w:sz w:val="16"/>
          <w:lang w:val="en-GB"/>
        </w:rPr>
        <w:t xml:space="preserve"> EUR </w:t>
      </w:r>
      <w:r w:rsidRPr="006E3732">
        <w:rPr>
          <w:color w:val="auto"/>
          <w:sz w:val="16"/>
          <w:lang w:val="en-GB"/>
        </w:rPr>
        <w:t>5,735</w:t>
      </w:r>
      <w:r w:rsidRPr="006E3732">
        <w:rPr>
          <w:color w:val="auto"/>
          <w:sz w:val="16"/>
          <w:lang w:val="en-GB"/>
        </w:rPr>
        <w:t xml:space="preserve"> million (</w:t>
      </w:r>
      <w:r w:rsidRPr="006E3732">
        <w:rPr>
          <w:color w:val="auto"/>
          <w:sz w:val="16"/>
          <w:lang w:val="en-GB"/>
        </w:rPr>
        <w:t>4,359</w:t>
      </w:r>
      <w:r w:rsidRPr="006E3732">
        <w:rPr>
          <w:color w:val="auto"/>
          <w:sz w:val="16"/>
          <w:lang w:val="en-GB"/>
        </w:rPr>
        <w:t xml:space="preserve">) </w:t>
      </w:r>
      <w:r w:rsidRPr="00FB147E">
        <w:rPr>
          <w:color w:val="auto"/>
          <w:sz w:val="16"/>
          <w:lang w:val="en-GB"/>
        </w:rPr>
        <w:t>compared to the low ordering levels of the corresponding period in the previous year</w:t>
      </w:r>
      <w:r w:rsidRPr="006E3732">
        <w:rPr>
          <w:color w:val="auto"/>
          <w:sz w:val="16"/>
          <w:lang w:val="en-GB"/>
        </w:rPr>
        <w:t xml:space="preserve">. Book-to-bill was </w:t>
      </w:r>
      <w:r w:rsidRPr="006E3732">
        <w:rPr>
          <w:color w:val="auto"/>
          <w:sz w:val="16"/>
          <w:lang w:val="en-GB"/>
        </w:rPr>
        <w:t>1.20</w:t>
      </w:r>
      <w:r w:rsidRPr="006E3732">
        <w:rPr>
          <w:color w:val="auto"/>
          <w:sz w:val="16"/>
          <w:lang w:val="en-GB"/>
        </w:rPr>
        <w:t xml:space="preserve"> (</w:t>
      </w:r>
      <w:r w:rsidRPr="006E3732">
        <w:rPr>
          <w:color w:val="auto"/>
          <w:sz w:val="16"/>
          <w:lang w:val="en-GB"/>
        </w:rPr>
        <w:t>0.95</w:t>
      </w:r>
      <w:r w:rsidRPr="006E3732">
        <w:rPr>
          <w:color w:val="auto"/>
          <w:sz w:val="16"/>
          <w:lang w:val="en-GB"/>
        </w:rPr>
        <w:t>). Service</w:t>
      </w:r>
      <w:r w:rsidRPr="006E3732">
        <w:rPr>
          <w:color w:val="auto"/>
          <w:sz w:val="16"/>
          <w:lang w:val="en-GB"/>
        </w:rPr>
        <w:t xml:space="preserve"> order intake </w:t>
      </w:r>
      <w:r w:rsidRPr="006E3732">
        <w:rPr>
          <w:color w:val="auto"/>
          <w:sz w:val="16"/>
          <w:lang w:val="en-GB"/>
        </w:rPr>
        <w:t>increased by 17% to</w:t>
      </w:r>
      <w:r w:rsidRPr="006E3732">
        <w:rPr>
          <w:color w:val="auto"/>
          <w:sz w:val="16"/>
          <w:lang w:val="en-GB"/>
        </w:rPr>
        <w:t xml:space="preserve"> EUR </w:t>
      </w:r>
      <w:r w:rsidRPr="006E3732">
        <w:rPr>
          <w:color w:val="auto"/>
          <w:sz w:val="16"/>
          <w:lang w:val="en-GB"/>
        </w:rPr>
        <w:t>2,656</w:t>
      </w:r>
      <w:r w:rsidRPr="006E3732">
        <w:rPr>
          <w:color w:val="auto"/>
          <w:sz w:val="16"/>
          <w:lang w:val="en-GB"/>
        </w:rPr>
        <w:t xml:space="preserve"> million (</w:t>
      </w:r>
      <w:r w:rsidRPr="006E3732">
        <w:rPr>
          <w:color w:val="auto"/>
          <w:sz w:val="16"/>
          <w:lang w:val="en-GB"/>
        </w:rPr>
        <w:t>2,267</w:t>
      </w:r>
      <w:r w:rsidRPr="006E3732">
        <w:rPr>
          <w:color w:val="auto"/>
          <w:sz w:val="16"/>
          <w:lang w:val="en-GB"/>
        </w:rPr>
        <w:t>)</w:t>
      </w:r>
      <w:r w:rsidRPr="00FB147E">
        <w:rPr>
          <w:color w:val="auto"/>
          <w:sz w:val="16"/>
          <w:lang w:val="en-GB"/>
        </w:rPr>
        <w:t>, reflecting improved market sentiment in the marine markets</w:t>
      </w:r>
      <w:r>
        <w:rPr>
          <w:color w:val="auto"/>
          <w:sz w:val="16"/>
          <w:lang w:val="en-GB"/>
        </w:rPr>
        <w:t>.</w:t>
      </w:r>
      <w:r w:rsidRPr="006E3732">
        <w:rPr>
          <w:color w:val="auto"/>
          <w:sz w:val="16"/>
          <w:lang w:val="en-GB"/>
        </w:rPr>
        <w:t xml:space="preserve"> </w:t>
      </w:r>
      <w:r>
        <w:rPr>
          <w:color w:val="auto"/>
          <w:sz w:val="16"/>
          <w:lang w:val="en-GB"/>
        </w:rPr>
        <w:t>E</w:t>
      </w:r>
      <w:r w:rsidRPr="006E3732">
        <w:rPr>
          <w:color w:val="auto"/>
          <w:sz w:val="16"/>
          <w:lang w:val="en-GB"/>
        </w:rPr>
        <w:t xml:space="preserve">quipment order intake </w:t>
      </w:r>
      <w:r w:rsidRPr="006E3732">
        <w:rPr>
          <w:color w:val="auto"/>
          <w:sz w:val="16"/>
          <w:lang w:val="en-GB"/>
        </w:rPr>
        <w:t>increased by 47% to</w:t>
      </w:r>
      <w:r w:rsidRPr="006E3732">
        <w:rPr>
          <w:color w:val="auto"/>
          <w:sz w:val="16"/>
          <w:lang w:val="en-GB"/>
        </w:rPr>
        <w:t xml:space="preserve"> EUR </w:t>
      </w:r>
      <w:r w:rsidRPr="006E3732">
        <w:rPr>
          <w:color w:val="auto"/>
          <w:sz w:val="16"/>
          <w:lang w:val="en-GB"/>
        </w:rPr>
        <w:t>3,079</w:t>
      </w:r>
      <w:r w:rsidRPr="006E3732">
        <w:rPr>
          <w:color w:val="auto"/>
          <w:sz w:val="16"/>
          <w:lang w:val="en-GB"/>
        </w:rPr>
        <w:t xml:space="preserve"> million (</w:t>
      </w:r>
      <w:r w:rsidRPr="006E3732">
        <w:rPr>
          <w:color w:val="auto"/>
          <w:sz w:val="16"/>
          <w:lang w:val="en-GB"/>
        </w:rPr>
        <w:t>2,091</w:t>
      </w:r>
      <w:r w:rsidRPr="006E3732">
        <w:rPr>
          <w:color w:val="auto"/>
          <w:sz w:val="16"/>
          <w:lang w:val="en-GB"/>
        </w:rPr>
        <w:t>)</w:t>
      </w:r>
      <w:r w:rsidRPr="00FB147E">
        <w:rPr>
          <w:color w:val="auto"/>
          <w:sz w:val="16"/>
          <w:lang w:val="en-GB"/>
        </w:rPr>
        <w:t>, driven by strong demand for energy storage solutions and a few important power plant</w:t>
      </w:r>
      <w:r>
        <w:rPr>
          <w:color w:val="auto"/>
          <w:sz w:val="16"/>
          <w:lang w:val="en-GB"/>
        </w:rPr>
        <w:t xml:space="preserve"> orders</w:t>
      </w:r>
      <w:r w:rsidRPr="006E3732">
        <w:rPr>
          <w:color w:val="auto"/>
          <w:sz w:val="16"/>
          <w:lang w:val="en-GB"/>
        </w:rPr>
        <w:t>.</w:t>
      </w:r>
    </w:p>
    <w:p w:rsidR="005C5755" w:rsidRPr="00A526E2" w:rsidP="00B425AF" w14:paraId="15A38902" w14:textId="2D3D741F">
      <w:pPr>
        <w:pStyle w:val="Wnormal0"/>
        <w:rPr>
          <w:lang w:val="en-GB"/>
        </w:rPr>
      </w:pPr>
      <w:r w:rsidRPr="006E3732">
        <w:rPr>
          <w:color w:val="auto"/>
          <w:sz w:val="16"/>
          <w:lang w:val="en-GB"/>
        </w:rPr>
        <w:t xml:space="preserve">The order book at the end of the </w:t>
      </w:r>
      <w:r w:rsidRPr="006E3732" w:rsidR="008E2EDF">
        <w:rPr>
          <w:color w:val="auto"/>
          <w:sz w:val="16"/>
          <w:lang w:val="en-GB"/>
        </w:rPr>
        <w:t>year</w:t>
      </w:r>
      <w:r w:rsidRPr="006E3732">
        <w:rPr>
          <w:color w:val="auto"/>
          <w:sz w:val="16"/>
          <w:lang w:val="en-GB"/>
        </w:rPr>
        <w:t xml:space="preserve"> </w:t>
      </w:r>
      <w:r w:rsidRPr="006E3732">
        <w:rPr>
          <w:color w:val="auto"/>
          <w:sz w:val="16"/>
          <w:lang w:val="en-GB"/>
        </w:rPr>
        <w:t>increased by 16% to</w:t>
      </w:r>
      <w:r w:rsidRPr="006E3732">
        <w:rPr>
          <w:color w:val="auto"/>
          <w:sz w:val="16"/>
          <w:lang w:val="en-GB"/>
        </w:rPr>
        <w:t xml:space="preserve"> EUR </w:t>
      </w:r>
      <w:r w:rsidRPr="006E3732">
        <w:rPr>
          <w:color w:val="auto"/>
          <w:sz w:val="16"/>
          <w:lang w:val="en-GB"/>
        </w:rPr>
        <w:t>5,859</w:t>
      </w:r>
      <w:r w:rsidRPr="006E3732">
        <w:rPr>
          <w:color w:val="auto"/>
          <w:sz w:val="16"/>
          <w:lang w:val="en-GB"/>
        </w:rPr>
        <w:t xml:space="preserve"> million (</w:t>
      </w:r>
      <w:r w:rsidRPr="006E3732">
        <w:rPr>
          <w:color w:val="auto"/>
          <w:sz w:val="16"/>
          <w:lang w:val="en-GB"/>
        </w:rPr>
        <w:t>5,057</w:t>
      </w:r>
      <w:r w:rsidRPr="006E3732">
        <w:rPr>
          <w:color w:val="auto"/>
          <w:sz w:val="16"/>
          <w:lang w:val="en-GB"/>
        </w:rPr>
        <w:t>)</w:t>
      </w:r>
      <w:r>
        <w:rPr>
          <w:color w:val="auto"/>
          <w:sz w:val="16"/>
          <w:lang w:val="en-GB"/>
        </w:rPr>
        <w:t xml:space="preserve"> </w:t>
      </w:r>
      <w:r w:rsidRPr="00FB147E">
        <w:rPr>
          <w:color w:val="auto"/>
          <w:sz w:val="16"/>
          <w:lang w:val="en-GB"/>
        </w:rPr>
        <w:t>despite divestments of certain business units</w:t>
      </w:r>
      <w:r w:rsidRPr="006E3732">
        <w:rPr>
          <w:color w:val="auto"/>
          <w:sz w:val="16"/>
          <w:lang w:val="en-GB"/>
        </w:rPr>
        <w:t xml:space="preserve">. </w:t>
      </w:r>
      <w:r w:rsidRPr="00FB147E">
        <w:rPr>
          <w:color w:val="auto"/>
          <w:sz w:val="16"/>
          <w:lang w:val="en-GB"/>
        </w:rPr>
        <w:t xml:space="preserve">Wärtsilä’s current order book for 2022 deliveries is EUR </w:t>
      </w:r>
      <w:r>
        <w:rPr>
          <w:color w:val="auto"/>
          <w:sz w:val="16"/>
          <w:lang w:val="en-GB"/>
        </w:rPr>
        <w:t>3,763</w:t>
      </w:r>
      <w:r w:rsidRPr="00FB147E">
        <w:rPr>
          <w:color w:val="auto"/>
          <w:sz w:val="16"/>
          <w:lang w:val="en-GB"/>
        </w:rPr>
        <w:t xml:space="preserve"> million (</w:t>
      </w:r>
      <w:r>
        <w:rPr>
          <w:color w:val="auto"/>
          <w:sz w:val="16"/>
          <w:lang w:val="en-GB"/>
        </w:rPr>
        <w:t>3,298</w:t>
      </w:r>
      <w:r w:rsidRPr="00FB147E">
        <w:rPr>
          <w:color w:val="auto"/>
          <w:sz w:val="16"/>
          <w:lang w:val="en-GB"/>
        </w:rPr>
        <w:t>).</w:t>
      </w:r>
    </w:p>
    <w:p w:rsidR="006B20E3" w:rsidRPr="00F03720" w:rsidP="006B20E3">
      <w:pPr>
        <w:pStyle w:val="Wnormal0"/>
        <w:rPr>
          <w:sz w:val="16"/>
          <w:lang w:val="en-GB"/>
        </w:rPr>
      </w:pPr>
      <w:r w:rsidRPr="00F03720">
        <w:rPr>
          <w:b/>
          <w:bCs/>
          <w:noProof/>
          <w:color w:val="0F172B"/>
          <w:spacing w:val="4"/>
          <w:sz w:val="16"/>
          <w:lang w:val="en-GB"/>
        </w:rPr>
        <mc:AlternateContent>
          <mc:Choice Requires="wpg">
            <w:drawing>
              <wp:anchor distT="0" distB="0" distL="114300" distR="114300" simplePos="0" relativeHeight="251661312" behindDoc="0" locked="0" layoutInCell="1" allowOverlap="1">
                <wp:simplePos x="0" y="0"/>
                <wp:positionH relativeFrom="margin">
                  <wp:align>right</wp:align>
                </wp:positionH>
                <wp:positionV relativeFrom="margin">
                  <wp:posOffset>1905</wp:posOffset>
                </wp:positionV>
                <wp:extent cx="3216800" cy="6126480"/>
                <wp:effectExtent l="0" t="0" r="3175" b="7620"/>
                <wp:wrapNone/>
                <wp:docPr id="4" name="Group 4"/>
                <wp:cNvGraphicFramePr/>
                <a:graphic xmlns:a="http://schemas.openxmlformats.org/drawingml/2006/main">
                  <a:graphicData uri="http://schemas.microsoft.com/office/word/2010/wordprocessingGroup">
                    <wpg:wgp xmlns:wpg="http://schemas.microsoft.com/office/word/2010/wordprocessingGroup">
                      <wpg:cNvGrpSpPr/>
                      <wpg:grpSpPr>
                        <a:xfrm>
                          <a:off x="0" y="0"/>
                          <a:ext cx="3216800" cy="6126480"/>
                          <a:chOff x="-193936" y="-1"/>
                          <a:chExt cx="6942041" cy="3923207"/>
                        </a:xfrm>
                      </wpg:grpSpPr>
                      <wps:wsp xmlns:wps="http://schemas.microsoft.com/office/word/2010/wordprocessingShape">
                        <wps:cNvPr id="837432974" name="Text Box 2"/>
                        <wps:cNvSpPr txBox="1">
                          <a:spLocks noChangeArrowheads="1"/>
                        </wps:cNvSpPr>
                        <wps:spPr bwMode="auto">
                          <a:xfrm>
                            <a:off x="-193936" y="-1"/>
                            <a:ext cx="6942041" cy="3923207"/>
                          </a:xfrm>
                          <a:prstGeom prst="rect">
                            <a:avLst/>
                          </a:prstGeom>
                          <a:solidFill>
                            <a:srgbClr val="FFFFFF"/>
                          </a:solidFill>
                          <a:ln w="9525">
                            <a:noFill/>
                            <a:miter lim="800000"/>
                            <a:headEnd/>
                            <a:tailEnd/>
                          </a:ln>
                        </wps:spPr>
                        <wps:txbx>
                          <w:txbxContent>
                            <w:tbl>
                              <w:tblPr>
                                <w:tblStyle w:val="TableGrid"/>
                                <w:tblW w:w="4590" w:type="dxa"/>
                                <w:tblInd w:w="-1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
                              <w:tblGrid>
                                <w:gridCol w:w="4590"/>
                              </w:tblGrid>
                              <w:tr w:rsidTr="0049526D">
                                <w:tblPrEx>
                                  <w:tblW w:w="4590" w:type="dxa"/>
                                  <w:tblInd w:w="-1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Ex>
                                <w:trPr>
                                  <w:trHeight w:val="3230"/>
                                </w:trPr>
                                <w:tc>
                                  <w:tcPr>
                                    <w:tcW w:w="4590" w:type="dxa"/>
                                    <w:tcMar>
                                      <w:top w:w="0" w:type="dxa"/>
                                      <w:left w:w="0" w:type="dxa"/>
                                      <w:bottom w:w="0" w:type="dxa"/>
                                      <w:right w:w="0" w:type="dxa"/>
                                    </w:tcMar>
                                  </w:tcPr>
                                  <w:p w:rsidR="00DB1E3E" w:rsidRPr="000515BB" w:rsidP="00BA00E7">
                                    <w:pPr>
                                      <w:pStyle w:val="Subtitle"/>
                                      <w:rPr>
                                        <w:color w:val="0F172B"/>
                                        <w:sz w:val="16"/>
                                        <w:szCs w:val="14"/>
                                      </w:rPr>
                                    </w:pPr>
                                    <w:r w:rsidRPr="000515BB">
                                      <w:rPr>
                                        <w:color w:val="0F172B"/>
                                        <w:sz w:val="16"/>
                                        <w:szCs w:val="14"/>
                                      </w:rPr>
                                      <w:t xml:space="preserve"> Group net sales devel</w:t>
                                    </w:r>
                                    <w:r w:rsidRPr="000515BB">
                                      <w:rPr>
                                        <w:rStyle w:val="SubtitleChar"/>
                                        <w:b/>
                                        <w:bCs/>
                                        <w:color w:val="0F172B"/>
                                        <w:sz w:val="16"/>
                                        <w:szCs w:val="14"/>
                                      </w:rPr>
                                      <w:t>o</w:t>
                                    </w:r>
                                    <w:r w:rsidRPr="000515BB">
                                      <w:rPr>
                                        <w:color w:val="0F172B"/>
                                        <w:sz w:val="16"/>
                                        <w:szCs w:val="14"/>
                                      </w:rPr>
                                      <w:t>pment</w:t>
                                    </w:r>
                                  </w:p>
                                  <w:p w:rsidR="00BA00E7" w:rsidRPr="00BA00E7" w:rsidP="00BA00E7">
                                    <w:pPr>
                                      <w:rPr>
                                        <w:lang w:val="en-GB"/>
                                      </w:rPr>
                                    </w:pPr>
                                    <w:r>
                                      <w:drawing>
                                        <wp:inline>
                                          <wp:extent cx="3024332" cy="1517651"/>
                                          <wp:docPr id="2103942273" name="Chart_Group_net_sales_devel"/>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r w:rsidTr="0049526D">
                                <w:tblPrEx>
                                  <w:tblW w:w="4590" w:type="dxa"/>
                                  <w:tblInd w:w="-185" w:type="dxa"/>
                                  <w:tblCellMar>
                                    <w:left w:w="0" w:type="dxa"/>
                                    <w:right w:w="0" w:type="dxa"/>
                                  </w:tblCellMar>
                                  <w:tblLook w:val="04A0"/>
                                </w:tblPrEx>
                                <w:trPr>
                                  <w:trHeight w:val="3951"/>
                                </w:trPr>
                                <w:tc>
                                  <w:tcPr>
                                    <w:tcW w:w="4590" w:type="dxa"/>
                                    <w:tcMar>
                                      <w:top w:w="0" w:type="dxa"/>
                                      <w:left w:w="0" w:type="dxa"/>
                                      <w:bottom w:w="0" w:type="dxa"/>
                                      <w:right w:w="0" w:type="dxa"/>
                                    </w:tcMar>
                                  </w:tcPr>
                                  <w:p w:rsidR="00DB1E3E" w:rsidRPr="000515BB" w:rsidP="00DB1E3E">
                                    <w:pPr>
                                      <w:pStyle w:val="Subtitle"/>
                                      <w:rPr>
                                        <w:color w:val="0F172B"/>
                                        <w:sz w:val="16"/>
                                        <w:szCs w:val="14"/>
                                      </w:rPr>
                                    </w:pPr>
                                    <w:r w:rsidRPr="000515BB">
                                      <w:rPr>
                                        <w:color w:val="0F172B"/>
                                        <w:sz w:val="16"/>
                                        <w:szCs w:val="14"/>
                                      </w:rPr>
                                      <w:t xml:space="preserve"> Result </w:t>
                                    </w:r>
                                  </w:p>
                                  <w:p w:rsidR="00DB1E3E" w:rsidP="00DB1E3E">
                                    <w:pPr>
                                      <w:pStyle w:val="Subtitle"/>
                                      <w:rPr>
                                        <w:lang w:val="da-DK"/>
                                      </w:rPr>
                                    </w:pPr>
                                    <w:r>
                                      <w:drawing>
                                        <wp:inline>
                                          <wp:extent cx="3029207" cy="1818075"/>
                                          <wp:docPr id="2" name="Chart_Result_E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r>
                              <w:tr w:rsidTr="0049526D">
                                <w:tblPrEx>
                                  <w:tblW w:w="4590" w:type="dxa"/>
                                  <w:tblInd w:w="-185" w:type="dxa"/>
                                  <w:tblCellMar>
                                    <w:left w:w="0" w:type="dxa"/>
                                    <w:right w:w="0" w:type="dxa"/>
                                  </w:tblCellMar>
                                  <w:tblLook w:val="04A0"/>
                                </w:tblPrEx>
                                <w:trPr>
                                  <w:trHeight w:val="2238"/>
                                </w:trPr>
                                <w:tc>
                                  <w:tcPr>
                                    <w:tcW w:w="4590" w:type="dxa"/>
                                  </w:tcPr>
                                  <w:p w:rsidR="00A34EF0" w:rsidRPr="000515BB" w:rsidP="00302ACF">
                                    <w:pPr>
                                      <w:pStyle w:val="Subtitle"/>
                                      <w:rPr>
                                        <w:color w:val="0F172B"/>
                                        <w:sz w:val="16"/>
                                        <w:szCs w:val="14"/>
                                      </w:rPr>
                                    </w:pPr>
                                    <w:r w:rsidRPr="000515BB">
                                      <w:rPr>
                                        <w:color w:val="0F172B"/>
                                        <w:sz w:val="16"/>
                                        <w:szCs w:val="14"/>
                                      </w:rPr>
                                      <w:t xml:space="preserve"> Megawatts delivered </w:t>
                                    </w:r>
                                  </w:p>
                                  <w:tbl>
                                    <w:tblPr>
                                      <w:tblStyle w:val="TableNormal"/>
                                      <w:tblCaption w:val="Table_Megawatts_delivered_EN"/>
                                      <w:tblW w:w="4590" w:type="dxa"/>
                                      <w:tblLook w:val="0600"/>
                                    </w:tblPr>
                                    <w:tblGrid>
                                      <w:gridCol w:w="2385"/>
                                      <w:gridCol w:w="735"/>
                                      <w:gridCol w:w="735"/>
                                      <w:gridCol w:w="735"/>
                                    </w:tblGrid>
                                    <w:tr>
                                      <w:tblPrEx>
                                        <w:tblW w:w="4590" w:type="dxa"/>
                                        <w:tblLook w:val="0600"/>
                                      </w:tblPrEx>
                                      <w:trPr>
                                        <w:trHeight w:hRule="exact" w:val="255"/>
                                      </w:trPr>
                                      <w:tc>
                                        <w:tcPr>
                                          <w:tcW w:w="2385" w:type="dxa"/>
                                          <w:tcBorders>
                                            <w:top w:val="nil"/>
                                            <w:left w:val="nil"/>
                                            <w:bottom w:val="single" w:sz="8" w:space="0" w:color="000000"/>
                                            <w:right w:val="nil"/>
                                            <w:tl2br w:val="nil"/>
                                            <w:tr2bl w:val="nil"/>
                                          </w:tcBorders>
                                          <w:shd w:val="clear" w:color="FFFFFF" w:fill="F0F4F6"/>
                                          <w:noWrap/>
                                          <w:tcMar>
                                            <w:left w:w="0" w:type="dxa"/>
                                            <w:right w:w="0" w:type="dxa"/>
                                          </w:tcMar>
                                          <w:textDirection w:val="lrTb"/>
                                          <w:tcFitText w:val="0"/>
                                          <w:vAlign w:val="center"/>
                                        </w:tcPr>
                                        <w:p>
                                          <w:pPr>
                                            <w:bidi w:val="0"/>
                                            <w:spacing w:before="0" w:beforeAutospacing="0" w:after="0" w:afterAutospacing="0" w:line="240" w:lineRule="auto"/>
                                            <w:jc w:val="left"/>
                                            <w:rPr>
                                              <w:rFonts w:ascii="Arial" w:eastAsia="Arial" w:hAnsi="Arial" w:cs="Arial"/>
                                              <w:b/>
                                              <w:i w:val="0"/>
                                              <w:strike w:val="0"/>
                                              <w:color w:val="000000"/>
                                              <w:sz w:val="15"/>
                                              <w:u w:val="none"/>
                                              <w:vertAlign w:val="baseline"/>
                                            </w:rPr>
                                          </w:pPr>
                                        </w:p>
                                      </w:tc>
                                      <w:tc>
                                        <w:tcPr>
                                          <w:tcW w:w="735" w:type="dxa"/>
                                          <w:tcBorders>
                                            <w:top w:val="nil"/>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5"/>
                                              <w:u w:val="none"/>
                                              <w:vertAlign w:val="baseline"/>
                                            </w:rPr>
                                          </w:pPr>
                                          <w:r>
                                            <w:rPr>
                                              <w:rFonts w:ascii="Arial" w:eastAsia="Arial" w:hAnsi="Arial" w:cs="Arial"/>
                                              <w:b/>
                                              <w:i w:val="0"/>
                                              <w:strike w:val="0"/>
                                              <w:color w:val="000000"/>
                                              <w:sz w:val="15"/>
                                              <w:u w:val="none"/>
                                              <w:vertAlign w:val="baseline"/>
                                            </w:rPr>
                                            <w:t>2021</w:t>
                                          </w:r>
                                        </w:p>
                                      </w:tc>
                                      <w:tc>
                                        <w:tcPr>
                                          <w:tcW w:w="735" w:type="dxa"/>
                                          <w:tcBorders>
                                            <w:top w:val="nil"/>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5"/>
                                              <w:u w:val="none"/>
                                              <w:vertAlign w:val="baseline"/>
                                            </w:rPr>
                                          </w:pPr>
                                          <w:r>
                                            <w:rPr>
                                              <w:rFonts w:ascii="Arial" w:eastAsia="Arial" w:hAnsi="Arial" w:cs="Arial"/>
                                              <w:b/>
                                              <w:i w:val="0"/>
                                              <w:strike w:val="0"/>
                                              <w:color w:val="000000"/>
                                              <w:sz w:val="15"/>
                                              <w:u w:val="none"/>
                                              <w:vertAlign w:val="baseline"/>
                                            </w:rPr>
                                            <w:t>2020</w:t>
                                          </w:r>
                                        </w:p>
                                      </w:tc>
                                      <w:tc>
                                        <w:tcPr>
                                          <w:tcW w:w="735" w:type="dxa"/>
                                          <w:tcBorders>
                                            <w:top w:val="nil"/>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5"/>
                                              <w:u w:val="none"/>
                                              <w:vertAlign w:val="baseline"/>
                                            </w:rPr>
                                          </w:pPr>
                                          <w:r>
                                            <w:rPr>
                                              <w:rFonts w:ascii="Arial" w:eastAsia="Arial" w:hAnsi="Arial" w:cs="Arial"/>
                                              <w:b/>
                                              <w:i w:val="0"/>
                                              <w:strike w:val="0"/>
                                              <w:color w:val="000000"/>
                                              <w:sz w:val="15"/>
                                              <w:u w:val="none"/>
                                              <w:vertAlign w:val="baseline"/>
                                            </w:rPr>
                                            <w:t>Change</w:t>
                                          </w:r>
                                        </w:p>
                                      </w:tc>
                                    </w:tr>
                                    <w:tr>
                                      <w:tblPrEx>
                                        <w:tblW w:w="4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hRule="exact" w:val="255"/>
                                      </w:trPr>
                                      <w:tc>
                                        <w:tcPr>
                                          <w:tcW w:w="2385"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Marine Power</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000000"/>
                                              <w:sz w:val="14"/>
                                              <w:u w:val="none"/>
                                              <w:vertAlign w:val="baseline"/>
                                            </w:rPr>
                                          </w:pPr>
                                          <w:r>
                                            <w:rPr>
                                              <w:rFonts w:ascii="Arial" w:eastAsia="Arial" w:hAnsi="Arial" w:cs="Arial"/>
                                              <w:b w:val="0"/>
                                              <w:i w:val="0"/>
                                              <w:strike w:val="0"/>
                                              <w:color w:val="000000"/>
                                              <w:sz w:val="14"/>
                                              <w:u w:val="none"/>
                                              <w:vertAlign w:val="baseline"/>
                                            </w:rPr>
                                            <w:t>1,315</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1,257</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5%</w:t>
                                          </w:r>
                                        </w:p>
                                      </w:tc>
                                    </w:tr>
                                    <w:tr>
                                      <w:tblPrEx>
                                        <w:tblW w:w="4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hRule="exact" w:val="255"/>
                                      </w:trPr>
                                      <w:tc>
                                        <w:tcPr>
                                          <w:tcW w:w="2385" w:type="dxa"/>
                                          <w:tcBorders>
                                            <w:top w:val="single" w:sz="4" w:space="0" w:color="004B6B"/>
                                            <w:left w:val="nil"/>
                                            <w:bottom w:val="single" w:sz="8" w:space="0" w:color="000000"/>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Energy</w:t>
                                          </w:r>
                                        </w:p>
                                      </w:tc>
                                      <w:tc>
                                        <w:tcPr>
                                          <w:tcW w:w="735" w:type="dxa"/>
                                          <w:tcBorders>
                                            <w:top w:val="single" w:sz="4" w:space="0" w:color="004B6B"/>
                                            <w:left w:val="nil"/>
                                            <w:bottom w:val="single" w:sz="8" w:space="0" w:color="000000"/>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1,402</w:t>
                                          </w:r>
                                        </w:p>
                                      </w:tc>
                                      <w:tc>
                                        <w:tcPr>
                                          <w:tcW w:w="735" w:type="dxa"/>
                                          <w:tcBorders>
                                            <w:top w:val="single" w:sz="4" w:space="0" w:color="004B6B"/>
                                            <w:left w:val="nil"/>
                                            <w:bottom w:val="single" w:sz="8" w:space="0" w:color="000000"/>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1,172</w:t>
                                          </w:r>
                                        </w:p>
                                      </w:tc>
                                      <w:tc>
                                        <w:tcPr>
                                          <w:tcW w:w="735" w:type="dxa"/>
                                          <w:tcBorders>
                                            <w:top w:val="single" w:sz="4" w:space="0" w:color="004B6B"/>
                                            <w:left w:val="nil"/>
                                            <w:bottom w:val="single" w:sz="8" w:space="0" w:color="000000"/>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20%</w:t>
                                          </w:r>
                                        </w:p>
                                      </w:tc>
                                    </w:tr>
                                    <w:tr>
                                      <w:tblPrEx>
                                        <w:tblW w:w="4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hRule="exact" w:val="255"/>
                                      </w:trPr>
                                      <w:tc>
                                        <w:tcPr>
                                          <w:tcW w:w="2385"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Wärtsilä total</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2,717</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2,429</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12%</w:t>
                                          </w:r>
                                        </w:p>
                                      </w:tc>
                                    </w:tr>
                                    <w:tr>
                                      <w:tblPrEx>
                                        <w:tblW w:w="4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val="255"/>
                                      </w:trPr>
                                      <w:tc>
                                        <w:tcPr>
                                          <w:tcW w:w="2385" w:type="dxa"/>
                                          <w:tcBorders>
                                            <w:top w:val="single" w:sz="4" w:space="0" w:color="004B6B"/>
                                            <w:left w:val="nil"/>
                                            <w:bottom w:val="single" w:sz="8" w:space="0" w:color="000000"/>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By joint venture</w:t>
                                          </w:r>
                                        </w:p>
                                      </w:tc>
                                      <w:tc>
                                        <w:tcPr>
                                          <w:tcW w:w="735" w:type="dxa"/>
                                          <w:tcBorders>
                                            <w:top w:val="single" w:sz="4" w:space="0" w:color="004B6B"/>
                                            <w:left w:val="nil"/>
                                            <w:bottom w:val="single" w:sz="8" w:space="0" w:color="000000"/>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000000"/>
                                              <w:sz w:val="14"/>
                                              <w:u w:val="none"/>
                                              <w:vertAlign w:val="baseline"/>
                                            </w:rPr>
                                          </w:pPr>
                                          <w:r>
                                            <w:rPr>
                                              <w:rFonts w:ascii="Arial" w:eastAsia="Arial" w:hAnsi="Arial" w:cs="Arial"/>
                                              <w:b w:val="0"/>
                                              <w:i w:val="0"/>
                                              <w:strike w:val="0"/>
                                              <w:color w:val="000000"/>
                                              <w:sz w:val="14"/>
                                              <w:u w:val="none"/>
                                              <w:vertAlign w:val="baseline"/>
                                            </w:rPr>
                                            <w:t>250</w:t>
                                          </w:r>
                                        </w:p>
                                      </w:tc>
                                      <w:tc>
                                        <w:tcPr>
                                          <w:tcW w:w="735" w:type="dxa"/>
                                          <w:tcBorders>
                                            <w:top w:val="single" w:sz="4" w:space="0" w:color="004B6B"/>
                                            <w:left w:val="nil"/>
                                            <w:bottom w:val="single" w:sz="8" w:space="0" w:color="000000"/>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274</w:t>
                                          </w:r>
                                        </w:p>
                                      </w:tc>
                                      <w:tc>
                                        <w:tcPr>
                                          <w:tcW w:w="735" w:type="dxa"/>
                                          <w:tcBorders>
                                            <w:top w:val="single" w:sz="4" w:space="0" w:color="004B6B"/>
                                            <w:left w:val="nil"/>
                                            <w:bottom w:val="single" w:sz="8" w:space="0" w:color="000000"/>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-9%</w:t>
                                          </w:r>
                                        </w:p>
                                      </w:tc>
                                    </w:tr>
                                    <w:tr>
                                      <w:tblPrEx>
                                        <w:tblW w:w="4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val="255"/>
                                      </w:trPr>
                                      <w:tc>
                                        <w:tcPr>
                                          <w:tcW w:w="2385" w:type="dxa"/>
                                          <w:tcBorders>
                                            <w:top w:val="single" w:sz="8" w:space="0" w:color="000000"/>
                                            <w:left w:val="nil"/>
                                            <w:bottom w:val="single" w:sz="4" w:space="0" w:color="004B6B"/>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Deliveries total</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2,967</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2,703</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10%</w:t>
                                          </w:r>
                                        </w:p>
                                      </w:tc>
                                    </w:tr>
                                  </w:tbl>
                                  <w:p/>
                                </w:tc>
                              </w:tr>
                            </w:tbl>
                            <w:p w:rsidR="00D46C68" w:rsidRPr="00BB42A5" w:rsidP="005545D2">
                              <w:pPr>
                                <w:rPr>
                                  <w:lang w:val="da-DK"/>
                                </w:rPr>
                              </w:pPr>
                            </w:p>
                          </w:txbxContent>
                        </wps:txbx>
                        <wps:bodyPr rot="0" vert="horz" wrap="square" lIns="144000" tIns="45720" rIns="91440" bIns="45720" anchor="t" anchorCtr="0"/>
                      </wps:wsp>
                      <wps:wsp xmlns:wps="http://schemas.microsoft.com/office/word/2010/wordprocessingShape">
                        <wps:cNvPr id="592678462" name="Text Box 2"/>
                        <wps:cNvSpPr txBox="1">
                          <a:spLocks noChangeArrowheads="1"/>
                        </wps:cNvSpPr>
                        <wps:spPr bwMode="auto">
                          <a:xfrm>
                            <a:off x="-44171" y="2643392"/>
                            <a:ext cx="2786910" cy="130344"/>
                          </a:xfrm>
                          <a:prstGeom prst="rect">
                            <a:avLst/>
                          </a:prstGeom>
                          <a:solidFill>
                            <a:srgbClr val="FFFFFF"/>
                          </a:solidFill>
                          <a:ln w="9525">
                            <a:noFill/>
                            <a:miter lim="800000"/>
                            <a:headEnd/>
                            <a:tailEnd/>
                          </a:ln>
                        </wps:spPr>
                        <wps:txbx>
                          <w:txbxContent>
                            <w:p w:rsidR="00E930DF" w:rsidRPr="0082714C" w:rsidP="00E930DF">
                              <w:pPr>
                                <w:rPr>
                                  <w:rFonts w:ascii="Arial" w:hAnsi="Arial" w:cs="Arial"/>
                                  <w:sz w:val="13"/>
                                  <w:szCs w:val="13"/>
                                  <w:lang w:val="en-GB"/>
                                </w:rPr>
                              </w:pPr>
                              <w:r w:rsidRPr="0082714C">
                                <w:rPr>
                                  <w:rFonts w:ascii="Arial" w:hAnsi="Arial" w:cs="Arial"/>
                                  <w:sz w:val="13"/>
                                  <w:szCs w:val="13"/>
                                  <w:lang w:val="en-GB"/>
                                </w:rPr>
                                <w:t>*Restated due to IFRS 15</w:t>
                              </w:r>
                            </w:p>
                          </w:txbxContent>
                        </wps:txbx>
                        <wps:bodyPr rot="0" vert="horz" wrap="square" anchor="t" anchorCtr="0"/>
                      </wps:wsp>
                      <wps:wsp xmlns:wps="http://schemas.microsoft.com/office/word/2010/wordprocessingShape">
                        <wps:cNvPr id="629747670" name="Text Box 2"/>
                        <wps:cNvSpPr txBox="1">
                          <a:spLocks noChangeArrowheads="1"/>
                        </wps:cNvSpPr>
                        <wps:spPr bwMode="auto">
                          <a:xfrm>
                            <a:off x="-120035" y="1148116"/>
                            <a:ext cx="3290521" cy="121154"/>
                          </a:xfrm>
                          <a:prstGeom prst="rect">
                            <a:avLst/>
                          </a:prstGeom>
                          <a:solidFill>
                            <a:srgbClr val="FFFFFF"/>
                          </a:solidFill>
                          <a:ln w="9525">
                            <a:noFill/>
                            <a:miter lim="800000"/>
                            <a:headEnd/>
                            <a:tailEnd/>
                          </a:ln>
                        </wps:spPr>
                        <wps:txbx>
                          <w:txbxContent>
                            <w:p w:rsidR="00FA7EA1" w:rsidRPr="0082714C" w:rsidP="00FA7EA1">
                              <w:pPr>
                                <w:rPr>
                                  <w:rFonts w:ascii="Arial" w:hAnsi="Arial" w:cs="Arial"/>
                                  <w:sz w:val="13"/>
                                  <w:szCs w:val="13"/>
                                  <w:lang w:val="en-GB"/>
                                </w:rPr>
                              </w:pPr>
                              <w:r w:rsidRPr="0082714C">
                                <w:rPr>
                                  <w:rFonts w:ascii="Arial" w:hAnsi="Arial" w:cs="Arial"/>
                                  <w:sz w:val="13"/>
                                  <w:szCs w:val="13"/>
                                  <w:lang w:val="en-GB"/>
                                </w:rPr>
                                <w:t>*Restated due to IFRS 15</w:t>
                              </w:r>
                            </w:p>
                          </w:txbxContent>
                        </wps:txbx>
                        <wps:bodyPr rot="0" vert="horz" wrap="square" anchor="t" anchorCtr="0"/>
                      </wps:wsp>
                    </wpg:wgp>
                  </a:graphicData>
                </a:graphic>
                <wp14:sizeRelH relativeFrom="margin">
                  <wp14:pctWidth>0</wp14:pctWidth>
                </wp14:sizeRelH>
                <wp14:sizeRelV relativeFrom="margin">
                  <wp14:pctHeight>0</wp14:pctHeight>
                </wp14:sizeRelV>
              </wp:anchor>
            </w:drawing>
          </mc:Choice>
          <mc:Fallback>
            <w:pict>
              <v:group id="Group 4" o:spid="_x0000_s1026" style="width:253.54pt;height:483pt;margin-top:0.15pt;margin-left:0;mso-height-percent:0;mso-height-relative:margin;mso-position-horizontal:right;mso-position-horizontal-relative:margin;mso-position-vertical-relative:margin;mso-width-percent:0;mso-width-relative:margin;mso-wrap-distance-bottom:0;mso-wrap-distance-left:9pt;mso-wrap-distance-right:9pt;mso-wrap-distance-top:0;position:absolute;z-index:251660288" coordorigin="-603,0" coordsize="21600,21600">
                <v:shape id="_x0000_s1027" type="#_x0000_t202" style="width:21600;height:21600;left:-603;position:absolute;v-text-anchor:top" fillcolor="white" stroked="f" strokeweight="0.75pt">
                  <v:textbox inset="11.34pt">
                    <w:txbxContent>
                      <w:tbl>
                        <w:tblPr>
                          <w:tblStyle w:val="TableGrid"/>
                          <w:tblW w:w="4590" w:type="dxa"/>
                          <w:tblInd w:w="-1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
                        <w:tblGrid>
                          <w:gridCol w:w="4590"/>
                        </w:tblGrid>
                        <w:tr w:rsidTr="0049526D">
                          <w:tblPrEx>
                            <w:tblW w:w="4590" w:type="dxa"/>
                            <w:tblInd w:w="-1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Ex>
                          <w:trPr>
                            <w:trHeight w:val="3230"/>
                          </w:trPr>
                          <w:tc>
                            <w:tcPr>
                              <w:tcW w:w="4590" w:type="dxa"/>
                              <w:tcMar>
                                <w:top w:w="0" w:type="dxa"/>
                                <w:left w:w="0" w:type="dxa"/>
                                <w:bottom w:w="0" w:type="dxa"/>
                                <w:right w:w="0" w:type="dxa"/>
                              </w:tcMar>
                            </w:tcPr>
                            <w:p w:rsidR="00DB1E3E" w:rsidRPr="000515BB" w:rsidP="00BA00E7">
                              <w:pPr>
                                <w:pStyle w:val="Subtitle"/>
                                <w:rPr>
                                  <w:color w:val="0F172B"/>
                                  <w:sz w:val="16"/>
                                  <w:szCs w:val="14"/>
                                </w:rPr>
                              </w:pPr>
                              <w:r w:rsidRPr="000515BB">
                                <w:rPr>
                                  <w:color w:val="0F172B"/>
                                  <w:sz w:val="16"/>
                                  <w:szCs w:val="14"/>
                                </w:rPr>
                                <w:t xml:space="preserve"> Group net sales devel</w:t>
                              </w:r>
                              <w:r w:rsidRPr="000515BB">
                                <w:rPr>
                                  <w:rStyle w:val="SubtitleChar"/>
                                  <w:b/>
                                  <w:bCs/>
                                  <w:color w:val="0F172B"/>
                                  <w:sz w:val="16"/>
                                  <w:szCs w:val="14"/>
                                </w:rPr>
                                <w:t>o</w:t>
                              </w:r>
                              <w:r w:rsidRPr="000515BB">
                                <w:rPr>
                                  <w:color w:val="0F172B"/>
                                  <w:sz w:val="16"/>
                                  <w:szCs w:val="14"/>
                                </w:rPr>
                                <w:t>pment</w:t>
                              </w:r>
                            </w:p>
                            <w:p w:rsidR="00BA00E7" w:rsidRPr="00BA00E7" w:rsidP="00BA00E7">
                              <w:pPr>
                                <w:rPr>
                                  <w:lang w:val="en-GB"/>
                                </w:rPr>
                              </w:pPr>
                              <w:drawing>
                                <wp:inline>
                                  <wp:extent cx="3024332" cy="1517651"/>
                                  <wp:docPr id="100010" name="[PlaceholderChartForReportGeneration-c578cf96-271e-439c-b42b-46a3c365a2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129934" name=""/>
                                          <pic:cNvPicPr>
                                            <a:picLocks noChangeAspect="1"/>
                                          </pic:cNvPicPr>
                                        </pic:nvPicPr>
                                        <pic:blipFill>
                                          <a:blip xmlns:r="http://schemas.openxmlformats.org/officeDocument/2006/relationships" r:embed="rId13"/>
                                          <a:stretch>
                                            <a:fillRect/>
                                          </a:stretch>
                                        </pic:blipFill>
                                        <pic:spPr>
                                          <a:xfrm>
                                            <a:off x="0" y="0"/>
                                            <a:ext cx="3024332" cy="1517651"/>
                                          </a:xfrm>
                                          <a:prstGeom prst="rect">
                                            <a:avLst/>
                                          </a:prstGeom>
                                        </pic:spPr>
                                      </pic:pic>
                                    </a:graphicData>
                                  </a:graphic>
                                </wp:inline>
                              </w:drawing>
                            </w:p>
                          </w:tc>
                        </w:tr>
                        <w:tr w:rsidTr="0049526D">
                          <w:tblPrEx>
                            <w:tblW w:w="4590" w:type="dxa"/>
                            <w:tblInd w:w="-185" w:type="dxa"/>
                            <w:tblCellMar>
                              <w:left w:w="0" w:type="dxa"/>
                              <w:right w:w="0" w:type="dxa"/>
                            </w:tblCellMar>
                            <w:tblLook w:val="04A0"/>
                          </w:tblPrEx>
                          <w:trPr>
                            <w:trHeight w:val="3951"/>
                          </w:trPr>
                          <w:tc>
                            <w:tcPr>
                              <w:tcW w:w="4590" w:type="dxa"/>
                              <w:tcMar>
                                <w:top w:w="0" w:type="dxa"/>
                                <w:left w:w="0" w:type="dxa"/>
                                <w:bottom w:w="0" w:type="dxa"/>
                                <w:right w:w="0" w:type="dxa"/>
                              </w:tcMar>
                            </w:tcPr>
                            <w:p w:rsidR="00DB1E3E" w:rsidRPr="000515BB" w:rsidP="00DB1E3E">
                              <w:pPr>
                                <w:pStyle w:val="Subtitle"/>
                                <w:rPr>
                                  <w:color w:val="0F172B"/>
                                  <w:sz w:val="16"/>
                                  <w:szCs w:val="14"/>
                                </w:rPr>
                              </w:pPr>
                              <w:r w:rsidRPr="000515BB">
                                <w:rPr>
                                  <w:color w:val="0F172B"/>
                                  <w:sz w:val="16"/>
                                  <w:szCs w:val="14"/>
                                </w:rPr>
                                <w:t xml:space="preserve"> Result </w:t>
                              </w:r>
                            </w:p>
                            <w:p w:rsidR="00DB1E3E" w:rsidP="00DB1E3E">
                              <w:pPr>
                                <w:pStyle w:val="Subtitle"/>
                                <w:rPr>
                                  <w:lang w:val="da-DK"/>
                                </w:rPr>
                              </w:pPr>
                              <w:drawing>
                                <wp:inline>
                                  <wp:extent cx="3029207" cy="1818075"/>
                                  <wp:docPr id="100011" name="[PlaceholderChartForReportGeneration-419e97a6-1cbc-4cf2-b594-c26818f08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352939" name=""/>
                                          <pic:cNvPicPr>
                                            <a:picLocks noChangeAspect="1"/>
                                          </pic:cNvPicPr>
                                        </pic:nvPicPr>
                                        <pic:blipFill>
                                          <a:blip xmlns:r="http://schemas.openxmlformats.org/officeDocument/2006/relationships" r:embed="rId13"/>
                                          <a:stretch>
                                            <a:fillRect/>
                                          </a:stretch>
                                        </pic:blipFill>
                                        <pic:spPr>
                                          <a:xfrm>
                                            <a:off x="0" y="0"/>
                                            <a:ext cx="3029207" cy="1818075"/>
                                          </a:xfrm>
                                          <a:prstGeom prst="rect">
                                            <a:avLst/>
                                          </a:prstGeom>
                                        </pic:spPr>
                                      </pic:pic>
                                    </a:graphicData>
                                  </a:graphic>
                                </wp:inline>
                              </w:drawing>
                            </w:p>
                          </w:tc>
                        </w:tr>
                        <w:tr w:rsidTr="0049526D">
                          <w:tblPrEx>
                            <w:tblW w:w="4590" w:type="dxa"/>
                            <w:tblInd w:w="-185" w:type="dxa"/>
                            <w:tblCellMar>
                              <w:left w:w="0" w:type="dxa"/>
                              <w:right w:w="0" w:type="dxa"/>
                            </w:tblCellMar>
                            <w:tblLook w:val="04A0"/>
                          </w:tblPrEx>
                          <w:trPr>
                            <w:trHeight w:val="2238"/>
                          </w:trPr>
                          <w:tc>
                            <w:tcPr>
                              <w:tcW w:w="4590" w:type="dxa"/>
                            </w:tcPr>
                            <w:p w:rsidR="00A34EF0" w:rsidRPr="000515BB" w:rsidP="00302ACF">
                              <w:pPr>
                                <w:pStyle w:val="Subtitle"/>
                                <w:rPr>
                                  <w:color w:val="0F172B"/>
                                  <w:sz w:val="16"/>
                                  <w:szCs w:val="14"/>
                                </w:rPr>
                              </w:pPr>
                              <w:r w:rsidRPr="000515BB">
                                <w:rPr>
                                  <w:color w:val="0F172B"/>
                                  <w:sz w:val="16"/>
                                  <w:szCs w:val="14"/>
                                </w:rPr>
                                <w:t xml:space="preserve"> Megawatts delivered </w:t>
                              </w:r>
                            </w:p>
                            <w:tbl>
                              <w:tblPr>
                                <w:tblStyle w:val="TableNormal"/>
                                <w:tblCaption w:val="Table_Megawatts_delivered_EN"/>
                                <w:tblW w:w="4590" w:type="dxa"/>
                                <w:tblLook w:val="0600"/>
                              </w:tblPr>
                              <w:tblGrid>
                                <w:gridCol w:w="2385"/>
                                <w:gridCol w:w="735"/>
                                <w:gridCol w:w="735"/>
                                <w:gridCol w:w="735"/>
                              </w:tblGrid>
                              <w:tr>
                                <w:tblPrEx>
                                  <w:tblW w:w="4590" w:type="dxa"/>
                                  <w:tblLook w:val="0600"/>
                                </w:tblPrEx>
                                <w:trPr>
                                  <w:trHeight w:hRule="exact" w:val="255"/>
                                </w:trPr>
                                <w:tc>
                                  <w:tcPr>
                                    <w:tcW w:w="2385" w:type="dxa"/>
                                    <w:tcBorders>
                                      <w:top w:val="nil"/>
                                      <w:left w:val="nil"/>
                                      <w:bottom w:val="single" w:sz="8" w:space="0" w:color="000000"/>
                                      <w:right w:val="nil"/>
                                      <w:tl2br w:val="nil"/>
                                      <w:tr2bl w:val="nil"/>
                                    </w:tcBorders>
                                    <w:shd w:val="clear" w:color="FFFFFF" w:fill="F0F4F6"/>
                                    <w:noWrap/>
                                    <w:tcMar>
                                      <w:left w:w="0" w:type="dxa"/>
                                      <w:right w:w="0" w:type="dxa"/>
                                    </w:tcMar>
                                    <w:textDirection w:val="lrTb"/>
                                    <w:tcFitText w:val="0"/>
                                    <w:vAlign w:val="center"/>
                                  </w:tcPr>
                                  <w:p>
                                    <w:pPr>
                                      <w:bidi w:val="0"/>
                                      <w:spacing w:before="0" w:beforeAutospacing="0" w:after="0" w:afterAutospacing="0" w:line="240" w:lineRule="auto"/>
                                      <w:jc w:val="left"/>
                                      <w:rPr>
                                        <w:rFonts w:ascii="Arial" w:eastAsia="Arial" w:hAnsi="Arial" w:cs="Arial"/>
                                        <w:b/>
                                        <w:i w:val="0"/>
                                        <w:strike w:val="0"/>
                                        <w:color w:val="000000"/>
                                        <w:sz w:val="15"/>
                                        <w:u w:val="none"/>
                                        <w:vertAlign w:val="baseline"/>
                                      </w:rPr>
                                    </w:pPr>
                                  </w:p>
                                </w:tc>
                                <w:tc>
                                  <w:tcPr>
                                    <w:tcW w:w="735" w:type="dxa"/>
                                    <w:tcBorders>
                                      <w:top w:val="nil"/>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5"/>
                                        <w:u w:val="none"/>
                                        <w:vertAlign w:val="baseline"/>
                                      </w:rPr>
                                    </w:pPr>
                                    <w:r>
                                      <w:rPr>
                                        <w:rFonts w:ascii="Arial" w:eastAsia="Arial" w:hAnsi="Arial" w:cs="Arial"/>
                                        <w:b/>
                                        <w:i w:val="0"/>
                                        <w:strike w:val="0"/>
                                        <w:color w:val="000000"/>
                                        <w:sz w:val="15"/>
                                        <w:u w:val="none"/>
                                        <w:vertAlign w:val="baseline"/>
                                      </w:rPr>
                                      <w:t>2021</w:t>
                                    </w:r>
                                  </w:p>
                                </w:tc>
                                <w:tc>
                                  <w:tcPr>
                                    <w:tcW w:w="735" w:type="dxa"/>
                                    <w:tcBorders>
                                      <w:top w:val="nil"/>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5"/>
                                        <w:u w:val="none"/>
                                        <w:vertAlign w:val="baseline"/>
                                      </w:rPr>
                                    </w:pPr>
                                    <w:r>
                                      <w:rPr>
                                        <w:rFonts w:ascii="Arial" w:eastAsia="Arial" w:hAnsi="Arial" w:cs="Arial"/>
                                        <w:b/>
                                        <w:i w:val="0"/>
                                        <w:strike w:val="0"/>
                                        <w:color w:val="000000"/>
                                        <w:sz w:val="15"/>
                                        <w:u w:val="none"/>
                                        <w:vertAlign w:val="baseline"/>
                                      </w:rPr>
                                      <w:t>2020</w:t>
                                    </w:r>
                                  </w:p>
                                </w:tc>
                                <w:tc>
                                  <w:tcPr>
                                    <w:tcW w:w="735" w:type="dxa"/>
                                    <w:tcBorders>
                                      <w:top w:val="nil"/>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5"/>
                                        <w:u w:val="none"/>
                                        <w:vertAlign w:val="baseline"/>
                                      </w:rPr>
                                    </w:pPr>
                                    <w:r>
                                      <w:rPr>
                                        <w:rFonts w:ascii="Arial" w:eastAsia="Arial" w:hAnsi="Arial" w:cs="Arial"/>
                                        <w:b/>
                                        <w:i w:val="0"/>
                                        <w:strike w:val="0"/>
                                        <w:color w:val="000000"/>
                                        <w:sz w:val="15"/>
                                        <w:u w:val="none"/>
                                        <w:vertAlign w:val="baseline"/>
                                      </w:rPr>
                                      <w:t>Change</w:t>
                                    </w:r>
                                  </w:p>
                                </w:tc>
                              </w:tr>
                              <w:tr>
                                <w:tblPrEx>
                                  <w:tblW w:w="4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hRule="exact" w:val="255"/>
                                </w:trPr>
                                <w:tc>
                                  <w:tcPr>
                                    <w:tcW w:w="2385"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Marine Power</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000000"/>
                                        <w:sz w:val="14"/>
                                        <w:u w:val="none"/>
                                        <w:vertAlign w:val="baseline"/>
                                      </w:rPr>
                                    </w:pPr>
                                    <w:r>
                                      <w:rPr>
                                        <w:rFonts w:ascii="Arial" w:eastAsia="Arial" w:hAnsi="Arial" w:cs="Arial"/>
                                        <w:b w:val="0"/>
                                        <w:i w:val="0"/>
                                        <w:strike w:val="0"/>
                                        <w:color w:val="000000"/>
                                        <w:sz w:val="14"/>
                                        <w:u w:val="none"/>
                                        <w:vertAlign w:val="baseline"/>
                                      </w:rPr>
                                      <w:t>1,315</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1,257</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5%</w:t>
                                    </w:r>
                                  </w:p>
                                </w:tc>
                              </w:tr>
                              <w:tr>
                                <w:tblPrEx>
                                  <w:tblW w:w="4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hRule="exact" w:val="255"/>
                                </w:trPr>
                                <w:tc>
                                  <w:tcPr>
                                    <w:tcW w:w="2385" w:type="dxa"/>
                                    <w:tcBorders>
                                      <w:top w:val="single" w:sz="4" w:space="0" w:color="004B6B"/>
                                      <w:left w:val="nil"/>
                                      <w:bottom w:val="single" w:sz="8" w:space="0" w:color="000000"/>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Energy</w:t>
                                    </w:r>
                                  </w:p>
                                </w:tc>
                                <w:tc>
                                  <w:tcPr>
                                    <w:tcW w:w="735" w:type="dxa"/>
                                    <w:tcBorders>
                                      <w:top w:val="single" w:sz="4" w:space="0" w:color="004B6B"/>
                                      <w:left w:val="nil"/>
                                      <w:bottom w:val="single" w:sz="8" w:space="0" w:color="000000"/>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1,402</w:t>
                                    </w:r>
                                  </w:p>
                                </w:tc>
                                <w:tc>
                                  <w:tcPr>
                                    <w:tcW w:w="735" w:type="dxa"/>
                                    <w:tcBorders>
                                      <w:top w:val="single" w:sz="4" w:space="0" w:color="004B6B"/>
                                      <w:left w:val="nil"/>
                                      <w:bottom w:val="single" w:sz="8" w:space="0" w:color="000000"/>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1,172</w:t>
                                    </w:r>
                                  </w:p>
                                </w:tc>
                                <w:tc>
                                  <w:tcPr>
                                    <w:tcW w:w="735" w:type="dxa"/>
                                    <w:tcBorders>
                                      <w:top w:val="single" w:sz="4" w:space="0" w:color="004B6B"/>
                                      <w:left w:val="nil"/>
                                      <w:bottom w:val="single" w:sz="8" w:space="0" w:color="000000"/>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20%</w:t>
                                    </w:r>
                                  </w:p>
                                </w:tc>
                              </w:tr>
                              <w:tr>
                                <w:tblPrEx>
                                  <w:tblW w:w="4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hRule="exact" w:val="255"/>
                                </w:trPr>
                                <w:tc>
                                  <w:tcPr>
                                    <w:tcW w:w="2385"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Wärtsilä total</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2,717</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2,429</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12%</w:t>
                                    </w:r>
                                  </w:p>
                                </w:tc>
                              </w:tr>
                              <w:tr>
                                <w:tblPrEx>
                                  <w:tblW w:w="4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val="255"/>
                                </w:trPr>
                                <w:tc>
                                  <w:tcPr>
                                    <w:tcW w:w="2385" w:type="dxa"/>
                                    <w:tcBorders>
                                      <w:top w:val="single" w:sz="4" w:space="0" w:color="004B6B"/>
                                      <w:left w:val="nil"/>
                                      <w:bottom w:val="single" w:sz="8" w:space="0" w:color="000000"/>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By joint venture</w:t>
                                    </w:r>
                                  </w:p>
                                </w:tc>
                                <w:tc>
                                  <w:tcPr>
                                    <w:tcW w:w="735" w:type="dxa"/>
                                    <w:tcBorders>
                                      <w:top w:val="single" w:sz="4" w:space="0" w:color="004B6B"/>
                                      <w:left w:val="nil"/>
                                      <w:bottom w:val="single" w:sz="8" w:space="0" w:color="000000"/>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000000"/>
                                        <w:sz w:val="14"/>
                                        <w:u w:val="none"/>
                                        <w:vertAlign w:val="baseline"/>
                                      </w:rPr>
                                    </w:pPr>
                                    <w:r>
                                      <w:rPr>
                                        <w:rFonts w:ascii="Arial" w:eastAsia="Arial" w:hAnsi="Arial" w:cs="Arial"/>
                                        <w:b w:val="0"/>
                                        <w:i w:val="0"/>
                                        <w:strike w:val="0"/>
                                        <w:color w:val="000000"/>
                                        <w:sz w:val="14"/>
                                        <w:u w:val="none"/>
                                        <w:vertAlign w:val="baseline"/>
                                      </w:rPr>
                                      <w:t>250</w:t>
                                    </w:r>
                                  </w:p>
                                </w:tc>
                                <w:tc>
                                  <w:tcPr>
                                    <w:tcW w:w="735" w:type="dxa"/>
                                    <w:tcBorders>
                                      <w:top w:val="single" w:sz="4" w:space="0" w:color="004B6B"/>
                                      <w:left w:val="nil"/>
                                      <w:bottom w:val="single" w:sz="8" w:space="0" w:color="000000"/>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274</w:t>
                                    </w:r>
                                  </w:p>
                                </w:tc>
                                <w:tc>
                                  <w:tcPr>
                                    <w:tcW w:w="735" w:type="dxa"/>
                                    <w:tcBorders>
                                      <w:top w:val="single" w:sz="4" w:space="0" w:color="004B6B"/>
                                      <w:left w:val="nil"/>
                                      <w:bottom w:val="single" w:sz="8" w:space="0" w:color="000000"/>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-9%</w:t>
                                    </w:r>
                                  </w:p>
                                </w:tc>
                              </w:tr>
                              <w:tr>
                                <w:tblPrEx>
                                  <w:tblW w:w="4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val="255"/>
                                </w:trPr>
                                <w:tc>
                                  <w:tcPr>
                                    <w:tcW w:w="2385" w:type="dxa"/>
                                    <w:tcBorders>
                                      <w:top w:val="single" w:sz="8" w:space="0" w:color="000000"/>
                                      <w:left w:val="nil"/>
                                      <w:bottom w:val="single" w:sz="4" w:space="0" w:color="004B6B"/>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Deliveries total</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2,967</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2,703</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10%</w:t>
                                    </w:r>
                                  </w:p>
                                </w:tc>
                              </w:tr>
                            </w:tbl>
                            <w:p/>
                          </w:tc>
                        </w:tr>
                      </w:tbl>
                      <w:p w:rsidR="00D46C68" w:rsidRPr="00BB42A5" w:rsidP="005545D2">
                        <w:pPr>
                          <w:rPr>
                            <w:lang w:val="da-DK"/>
                          </w:rPr>
                        </w:pPr>
                      </w:p>
                    </w:txbxContent>
                  </v:textbox>
                </v:shape>
                <v:shape id="_x0000_s1028" type="#_x0000_t202" style="width:8671;height:718;left:-137;position:absolute;top:14554;v-text-anchor:top" fillcolor="white" stroked="f" strokeweight="0.75pt">
                  <v:textbox>
                    <w:txbxContent>
                      <w:p w:rsidR="00E930DF" w:rsidRPr="0082714C" w:rsidP="00E930DF">
                        <w:pPr>
                          <w:rPr>
                            <w:rFonts w:ascii="Arial" w:hAnsi="Arial" w:cs="Arial"/>
                            <w:sz w:val="13"/>
                            <w:szCs w:val="13"/>
                            <w:lang w:val="en-GB"/>
                          </w:rPr>
                        </w:pPr>
                        <w:r w:rsidRPr="0082714C">
                          <w:rPr>
                            <w:rFonts w:ascii="Arial" w:hAnsi="Arial" w:cs="Arial"/>
                            <w:sz w:val="13"/>
                            <w:szCs w:val="13"/>
                            <w:lang w:val="en-GB"/>
                          </w:rPr>
                          <w:t>*Restated due to IFRS 15</w:t>
                        </w:r>
                      </w:p>
                    </w:txbxContent>
                  </v:textbox>
                </v:shape>
                <v:shape id="_x0000_s1029" type="#_x0000_t202" style="width:10238;height:667;left:-373;position:absolute;top:6321;v-text-anchor:top" fillcolor="white" stroked="f" strokeweight="0.75pt">
                  <v:textbox>
                    <w:txbxContent>
                      <w:p w:rsidR="00FA7EA1" w:rsidRPr="0082714C" w:rsidP="00FA7EA1">
                        <w:pPr>
                          <w:rPr>
                            <w:rFonts w:ascii="Arial" w:hAnsi="Arial" w:cs="Arial"/>
                            <w:sz w:val="13"/>
                            <w:szCs w:val="13"/>
                            <w:lang w:val="en-GB"/>
                          </w:rPr>
                        </w:pPr>
                        <w:r w:rsidRPr="0082714C">
                          <w:rPr>
                            <w:rFonts w:ascii="Arial" w:hAnsi="Arial" w:cs="Arial"/>
                            <w:sz w:val="13"/>
                            <w:szCs w:val="13"/>
                            <w:lang w:val="en-GB"/>
                          </w:rPr>
                          <w:t>*Restated due to IFRS 15</w:t>
                        </w:r>
                      </w:p>
                    </w:txbxContent>
                  </v:textbox>
                </v:shape>
                <w10:wrap anchorx="margin" anchory="margin"/>
              </v:group>
            </w:pict>
          </mc:Fallback>
        </mc:AlternateContent>
      </w:r>
      <w:bookmarkStart w:id="7" w:name="RG_MARKER_7285"/>
      <w:r w:rsidRPr="00AE391C" w:rsidR="00E31297">
        <w:rPr>
          <w:rStyle w:val="Heading3Char"/>
          <w:szCs w:val="17"/>
        </w:rPr>
        <w:t>Net sales and operating result</w:t>
      </w:r>
      <w:bookmarkEnd w:id="7"/>
      <w:r w:rsidRPr="00AE391C" w:rsidR="00E31297">
        <w:rPr>
          <w:rStyle w:val="Heading3Char"/>
          <w:szCs w:val="17"/>
        </w:rPr>
        <w:cr/>
      </w:r>
      <w:r w:rsidRPr="00F03720" w:rsidR="00E31297">
        <w:rPr>
          <w:rStyle w:val="Heading3Char"/>
          <w:b w:val="0"/>
          <w:bCs w:val="0"/>
          <w:sz w:val="16"/>
        </w:rPr>
        <w:t>Wärtsilä’s</w:t>
      </w:r>
      <w:r w:rsidRPr="00F03720" w:rsidR="00E31297">
        <w:rPr>
          <w:rStyle w:val="Heading3Char"/>
          <w:sz w:val="16"/>
        </w:rPr>
        <w:t xml:space="preserve"> </w:t>
      </w:r>
      <w:r w:rsidRPr="00F03720" w:rsidR="00E31297">
        <w:rPr>
          <w:sz w:val="16"/>
          <w:lang w:val="en-GB"/>
        </w:rPr>
        <w:t xml:space="preserve">net sales in </w:t>
      </w:r>
      <w:r w:rsidRPr="00F03720" w:rsidR="00E31297">
        <w:rPr>
          <w:sz w:val="16"/>
          <w:lang w:val="en-GB"/>
        </w:rPr>
        <w:t>2021</w:t>
      </w:r>
      <w:r w:rsidRPr="00F03720" w:rsidR="00E31297">
        <w:rPr>
          <w:sz w:val="16"/>
          <w:lang w:val="en-GB"/>
        </w:rPr>
        <w:t xml:space="preserve"> </w:t>
      </w:r>
      <w:r w:rsidRPr="00F03720" w:rsidR="00E31297">
        <w:rPr>
          <w:sz w:val="16"/>
          <w:lang w:val="en-GB"/>
        </w:rPr>
        <w:t>increased by 4% to</w:t>
      </w:r>
      <w:r w:rsidRPr="00F03720" w:rsidR="00E31297">
        <w:rPr>
          <w:sz w:val="16"/>
          <w:lang w:val="en-GB"/>
        </w:rPr>
        <w:t xml:space="preserve"> EUR </w:t>
      </w:r>
      <w:r w:rsidRPr="00F03720" w:rsidR="00E31297">
        <w:rPr>
          <w:sz w:val="16"/>
          <w:lang w:val="en-GB"/>
        </w:rPr>
        <w:t>4,778</w:t>
      </w:r>
      <w:r w:rsidRPr="00F03720" w:rsidR="00E31297">
        <w:rPr>
          <w:sz w:val="16"/>
          <w:lang w:val="en-GB"/>
        </w:rPr>
        <w:t xml:space="preserve"> million (</w:t>
      </w:r>
      <w:r w:rsidRPr="00F03720" w:rsidR="00E31297">
        <w:rPr>
          <w:sz w:val="16"/>
          <w:lang w:val="en-GB"/>
        </w:rPr>
        <w:t>4,604</w:t>
      </w:r>
      <w:r w:rsidRPr="00F03720" w:rsidR="00E31297">
        <w:rPr>
          <w:sz w:val="16"/>
          <w:lang w:val="en-GB"/>
        </w:rPr>
        <w:t xml:space="preserve">) compared to the previous year. Service net sales </w:t>
      </w:r>
      <w:r w:rsidRPr="00F03720" w:rsidR="00E31297">
        <w:rPr>
          <w:sz w:val="16"/>
          <w:lang w:val="en-GB"/>
        </w:rPr>
        <w:t>increased by 11% to</w:t>
      </w:r>
      <w:r w:rsidRPr="00F03720" w:rsidR="00E31297">
        <w:rPr>
          <w:sz w:val="16"/>
          <w:lang w:val="en-GB"/>
        </w:rPr>
        <w:t xml:space="preserve"> EUR </w:t>
      </w:r>
      <w:r w:rsidRPr="00F03720" w:rsidR="00E31297">
        <w:rPr>
          <w:sz w:val="16"/>
          <w:lang w:val="en-GB"/>
        </w:rPr>
        <w:t>2,499</w:t>
      </w:r>
      <w:r w:rsidRPr="00F03720" w:rsidR="00E31297">
        <w:rPr>
          <w:sz w:val="16"/>
          <w:lang w:val="en-GB"/>
        </w:rPr>
        <w:t xml:space="preserve"> million (</w:t>
      </w:r>
      <w:r w:rsidRPr="00F03720" w:rsidR="00E31297">
        <w:rPr>
          <w:sz w:val="16"/>
          <w:lang w:val="en-GB"/>
        </w:rPr>
        <w:t>2,255</w:t>
      </w:r>
      <w:r w:rsidRPr="00F03720" w:rsidR="00E31297">
        <w:rPr>
          <w:sz w:val="16"/>
          <w:lang w:val="en-GB"/>
        </w:rPr>
        <w:t>)</w:t>
      </w:r>
      <w:r w:rsidR="00E31297">
        <w:rPr>
          <w:sz w:val="16"/>
          <w:lang w:val="en-GB"/>
        </w:rPr>
        <w:t xml:space="preserve"> </w:t>
      </w:r>
      <w:r w:rsidRPr="00C12619" w:rsidR="00E31297">
        <w:rPr>
          <w:sz w:val="16"/>
          <w:lang w:val="en-GB"/>
        </w:rPr>
        <w:t>on the back of a weak comparison year</w:t>
      </w:r>
      <w:r w:rsidRPr="00F03720" w:rsidR="00E31297">
        <w:rPr>
          <w:sz w:val="16"/>
          <w:lang w:val="en-GB"/>
        </w:rPr>
        <w:t xml:space="preserve">. Equipment net sales </w:t>
      </w:r>
      <w:r w:rsidRPr="00F03720" w:rsidR="00E31297">
        <w:rPr>
          <w:sz w:val="16"/>
          <w:lang w:val="en-GB"/>
        </w:rPr>
        <w:t>decreased by 3% to</w:t>
      </w:r>
      <w:r w:rsidRPr="00F03720" w:rsidR="00E31297">
        <w:rPr>
          <w:sz w:val="16"/>
          <w:lang w:val="en-GB"/>
        </w:rPr>
        <w:t xml:space="preserve"> EUR </w:t>
      </w:r>
      <w:r w:rsidRPr="00F03720" w:rsidR="00E31297">
        <w:rPr>
          <w:sz w:val="16"/>
          <w:lang w:val="en-GB"/>
        </w:rPr>
        <w:t>2,279</w:t>
      </w:r>
      <w:r w:rsidRPr="00F03720" w:rsidR="00E31297">
        <w:rPr>
          <w:sz w:val="16"/>
          <w:lang w:val="en-GB"/>
        </w:rPr>
        <w:t xml:space="preserve"> million (</w:t>
      </w:r>
      <w:r w:rsidRPr="00F03720" w:rsidR="00E31297">
        <w:rPr>
          <w:sz w:val="16"/>
          <w:lang w:val="en-GB"/>
        </w:rPr>
        <w:t>2,349</w:t>
      </w:r>
      <w:r w:rsidRPr="00F03720" w:rsidR="00E31297">
        <w:rPr>
          <w:sz w:val="16"/>
          <w:lang w:val="en-GB"/>
        </w:rPr>
        <w:t>). Of Wärtsilä’s net sales, approxi</w:t>
      </w:r>
      <w:r w:rsidRPr="00F03720" w:rsidR="00E31297">
        <w:rPr>
          <w:sz w:val="16"/>
          <w:lang w:val="en-GB"/>
        </w:rPr>
        <w:t xml:space="preserve">mately </w:t>
      </w:r>
      <w:r w:rsidRPr="00F03720" w:rsidR="00E31297">
        <w:rPr>
          <w:sz w:val="16"/>
          <w:lang w:val="en-GB"/>
        </w:rPr>
        <w:t>60</w:t>
      </w:r>
      <w:r w:rsidRPr="00F03720" w:rsidR="00E31297">
        <w:rPr>
          <w:sz w:val="16"/>
          <w:lang w:val="en-GB"/>
        </w:rPr>
        <w:t xml:space="preserve">% was EUR denominated and </w:t>
      </w:r>
      <w:r w:rsidRPr="00F03720" w:rsidR="00E31297">
        <w:rPr>
          <w:sz w:val="16"/>
          <w:lang w:val="en-GB"/>
        </w:rPr>
        <w:t>25</w:t>
      </w:r>
      <w:r w:rsidRPr="00F03720" w:rsidR="00E31297">
        <w:rPr>
          <w:sz w:val="16"/>
          <w:lang w:val="en-GB"/>
        </w:rPr>
        <w:t>% USD denominated, with the remainder being split between several currencies.</w:t>
      </w:r>
    </w:p>
    <w:p w:rsidR="006B20E3" w:rsidRPr="00F03720" w:rsidP="006B20E3">
      <w:pPr>
        <w:pStyle w:val="Wnormal0"/>
        <w:rPr>
          <w:sz w:val="16"/>
          <w:lang w:val="en-GB"/>
        </w:rPr>
      </w:pPr>
      <w:r w:rsidRPr="00F03720">
        <w:rPr>
          <w:sz w:val="16"/>
          <w:lang w:val="en-GB"/>
        </w:rPr>
        <w:t xml:space="preserve">The operating result amounted to EUR </w:t>
      </w:r>
      <w:r w:rsidRPr="00F03720">
        <w:rPr>
          <w:sz w:val="16"/>
          <w:lang w:val="en-GB"/>
        </w:rPr>
        <w:t>314</w:t>
      </w:r>
      <w:r w:rsidRPr="00F03720">
        <w:rPr>
          <w:sz w:val="16"/>
          <w:lang w:val="en-GB"/>
        </w:rPr>
        <w:t xml:space="preserve"> million (</w:t>
      </w:r>
      <w:r w:rsidRPr="00F03720">
        <w:rPr>
          <w:sz w:val="16"/>
          <w:lang w:val="en-GB"/>
        </w:rPr>
        <w:t>234</w:t>
      </w:r>
      <w:r w:rsidRPr="00F03720">
        <w:rPr>
          <w:sz w:val="16"/>
          <w:lang w:val="en-GB"/>
        </w:rPr>
        <w:t xml:space="preserve">) or </w:t>
      </w:r>
      <w:r w:rsidRPr="00F03720">
        <w:rPr>
          <w:sz w:val="16"/>
          <w:lang w:val="en-GB"/>
        </w:rPr>
        <w:t>6.6</w:t>
      </w:r>
      <w:r w:rsidRPr="00F03720">
        <w:rPr>
          <w:sz w:val="16"/>
          <w:lang w:val="en-GB"/>
        </w:rPr>
        <w:t>% of net sales (</w:t>
      </w:r>
      <w:r w:rsidRPr="00F03720">
        <w:rPr>
          <w:sz w:val="16"/>
          <w:lang w:val="en-GB"/>
        </w:rPr>
        <w:t>5.1</w:t>
      </w:r>
      <w:r w:rsidRPr="00F03720">
        <w:rPr>
          <w:sz w:val="16"/>
          <w:lang w:val="en-GB"/>
        </w:rPr>
        <w:t xml:space="preserve">). </w:t>
      </w:r>
      <w:r w:rsidRPr="00C12619">
        <w:rPr>
          <w:color w:val="auto"/>
          <w:sz w:val="16"/>
          <w:lang w:val="en-GB"/>
        </w:rPr>
        <w:t xml:space="preserve">The improvement in profitability was driven by a more favourable sales mix between equipment and services, as well as improved service capacity </w:t>
      </w:r>
      <w:r w:rsidRPr="00C12619">
        <w:rPr>
          <w:color w:val="auto"/>
          <w:sz w:val="16"/>
          <w:lang w:val="en-GB"/>
        </w:rPr>
        <w:t>utilisation. However, the operating result continued to be burdened by Covid-19 driven cost inflation and challenges in the utilisation of personnel, under-absorption of factory capacity cost, pressure on cost of supply and logistics, as well as by approxi</w:t>
      </w:r>
      <w:r w:rsidRPr="00C12619">
        <w:rPr>
          <w:color w:val="auto"/>
          <w:sz w:val="16"/>
          <w:lang w:val="en-GB"/>
        </w:rPr>
        <w:t xml:space="preserve">mately EUR 20 million net provisions arising from a detailed project risk review conducted in the first quarter in Wärtsilä Energy. </w:t>
      </w:r>
      <w:r w:rsidRPr="00F03720">
        <w:rPr>
          <w:sz w:val="16"/>
          <w:lang w:val="en-GB"/>
        </w:rPr>
        <w:t xml:space="preserve">The comparable operating result totalled EUR </w:t>
      </w:r>
      <w:r w:rsidRPr="00F03720">
        <w:rPr>
          <w:sz w:val="16"/>
          <w:lang w:val="en-GB"/>
        </w:rPr>
        <w:t>357</w:t>
      </w:r>
      <w:r w:rsidRPr="00F03720">
        <w:rPr>
          <w:sz w:val="16"/>
          <w:lang w:val="en-GB"/>
        </w:rPr>
        <w:t xml:space="preserve"> million (</w:t>
      </w:r>
      <w:r w:rsidRPr="00F03720">
        <w:rPr>
          <w:sz w:val="16"/>
          <w:lang w:val="en-GB"/>
        </w:rPr>
        <w:t>275</w:t>
      </w:r>
      <w:r w:rsidRPr="00F03720">
        <w:rPr>
          <w:sz w:val="16"/>
          <w:lang w:val="en-GB"/>
        </w:rPr>
        <w:t xml:space="preserve">) or </w:t>
      </w:r>
      <w:r w:rsidRPr="00F03720">
        <w:rPr>
          <w:sz w:val="16"/>
          <w:lang w:val="en-GB"/>
        </w:rPr>
        <w:t>7.5</w:t>
      </w:r>
      <w:r w:rsidRPr="00F03720">
        <w:rPr>
          <w:sz w:val="16"/>
          <w:lang w:val="en-GB"/>
        </w:rPr>
        <w:t>% of net sales (</w:t>
      </w:r>
      <w:r w:rsidRPr="00F03720">
        <w:rPr>
          <w:sz w:val="16"/>
          <w:lang w:val="en-GB"/>
        </w:rPr>
        <w:t>6.0</w:t>
      </w:r>
      <w:r w:rsidRPr="00F03720">
        <w:rPr>
          <w:sz w:val="16"/>
          <w:lang w:val="en-GB"/>
        </w:rPr>
        <w:t xml:space="preserve">). Items affecting comparability comprised </w:t>
      </w:r>
      <w:r w:rsidRPr="00F03720">
        <w:rPr>
          <w:color w:val="auto"/>
          <w:sz w:val="16"/>
          <w:lang w:val="en-GB"/>
        </w:rPr>
        <w:t xml:space="preserve">costs </w:t>
      </w:r>
      <w:r w:rsidRPr="00F03720">
        <w:rPr>
          <w:sz w:val="16"/>
          <w:lang w:val="en-GB"/>
        </w:rPr>
        <w:t xml:space="preserve">of EUR </w:t>
      </w:r>
      <w:r w:rsidRPr="00F03720">
        <w:rPr>
          <w:sz w:val="16"/>
          <w:lang w:val="en-GB"/>
        </w:rPr>
        <w:t>43</w:t>
      </w:r>
      <w:r w:rsidRPr="00F03720">
        <w:rPr>
          <w:sz w:val="16"/>
          <w:lang w:val="en-GB"/>
        </w:rPr>
        <w:t xml:space="preserve"> million (</w:t>
      </w:r>
      <w:r w:rsidRPr="00F03720">
        <w:rPr>
          <w:sz w:val="16"/>
          <w:lang w:val="en-GB"/>
        </w:rPr>
        <w:t>41</w:t>
      </w:r>
      <w:r w:rsidRPr="00F03720">
        <w:rPr>
          <w:sz w:val="16"/>
          <w:lang w:val="en-GB"/>
        </w:rPr>
        <w:t>)</w:t>
      </w:r>
      <w:r>
        <w:rPr>
          <w:sz w:val="16"/>
          <w:lang w:val="en-GB"/>
        </w:rPr>
        <w:t xml:space="preserve"> </w:t>
      </w:r>
      <w:r w:rsidRPr="00C12619">
        <w:rPr>
          <w:sz w:val="16"/>
          <w:lang w:val="en-GB"/>
        </w:rPr>
        <w:t>related primarily to divestme</w:t>
      </w:r>
      <w:r w:rsidRPr="00C12619">
        <w:rPr>
          <w:sz w:val="16"/>
          <w:lang w:val="en-GB"/>
        </w:rPr>
        <w:t>nts, restructuring programmes, and footprint adjustments</w:t>
      </w:r>
      <w:r w:rsidRPr="00F03720">
        <w:rPr>
          <w:sz w:val="16"/>
          <w:lang w:val="en-GB"/>
        </w:rPr>
        <w:t xml:space="preserve">. The comparable adjusted EBITA amounted to EUR </w:t>
      </w:r>
      <w:r w:rsidRPr="00F03720">
        <w:rPr>
          <w:sz w:val="16"/>
          <w:lang w:val="en-GB"/>
        </w:rPr>
        <w:t>388</w:t>
      </w:r>
      <w:r w:rsidRPr="00F03720">
        <w:rPr>
          <w:sz w:val="16"/>
          <w:lang w:val="en-GB"/>
        </w:rPr>
        <w:t xml:space="preserve"> million (</w:t>
      </w:r>
      <w:r w:rsidRPr="00F03720">
        <w:rPr>
          <w:sz w:val="16"/>
          <w:lang w:val="en-GB"/>
        </w:rPr>
        <w:t>308</w:t>
      </w:r>
      <w:r w:rsidRPr="00F03720">
        <w:rPr>
          <w:sz w:val="16"/>
          <w:lang w:val="en-GB"/>
        </w:rPr>
        <w:t xml:space="preserve">) or </w:t>
      </w:r>
      <w:r w:rsidRPr="00F03720">
        <w:rPr>
          <w:sz w:val="16"/>
          <w:lang w:val="en-GB"/>
        </w:rPr>
        <w:t>8.1</w:t>
      </w:r>
      <w:r w:rsidRPr="00F03720">
        <w:rPr>
          <w:sz w:val="16"/>
          <w:lang w:val="en-GB"/>
        </w:rPr>
        <w:t>% of net sales (</w:t>
      </w:r>
      <w:r w:rsidRPr="00F03720">
        <w:rPr>
          <w:sz w:val="16"/>
          <w:lang w:val="en-GB"/>
        </w:rPr>
        <w:t>6.7</w:t>
      </w:r>
      <w:r w:rsidRPr="00F03720">
        <w:rPr>
          <w:sz w:val="16"/>
          <w:lang w:val="en-GB"/>
        </w:rPr>
        <w:t xml:space="preserve">). Purchase price allocation amortisation amounted to EUR </w:t>
      </w:r>
      <w:r w:rsidRPr="00F03720">
        <w:rPr>
          <w:sz w:val="16"/>
          <w:lang w:val="en-GB"/>
        </w:rPr>
        <w:t>31</w:t>
      </w:r>
      <w:r w:rsidRPr="00F03720">
        <w:rPr>
          <w:sz w:val="16"/>
          <w:lang w:val="en-GB"/>
        </w:rPr>
        <w:t xml:space="preserve"> million (</w:t>
      </w:r>
      <w:r w:rsidRPr="00F03720">
        <w:rPr>
          <w:sz w:val="16"/>
          <w:lang w:val="en-GB"/>
        </w:rPr>
        <w:t>33</w:t>
      </w:r>
      <w:r w:rsidRPr="00F03720">
        <w:rPr>
          <w:sz w:val="16"/>
          <w:lang w:val="en-GB"/>
        </w:rPr>
        <w:t>).</w:t>
      </w:r>
    </w:p>
    <w:p w:rsidR="00E8455B" w:rsidP="006477FD">
      <w:pPr>
        <w:pStyle w:val="Wnormal0"/>
        <w:rPr>
          <w:sz w:val="16"/>
          <w:lang w:val="en-GB"/>
        </w:rPr>
      </w:pPr>
      <w:r w:rsidRPr="00F03720">
        <w:rPr>
          <w:sz w:val="16"/>
          <w:lang w:val="en-GB"/>
        </w:rPr>
        <w:t xml:space="preserve">Financial items amounted to EUR </w:t>
      </w:r>
      <w:r w:rsidRPr="00F03720">
        <w:rPr>
          <w:sz w:val="16"/>
          <w:lang w:val="en-GB"/>
        </w:rPr>
        <w:t>-18</w:t>
      </w:r>
      <w:r w:rsidRPr="00F03720">
        <w:rPr>
          <w:sz w:val="16"/>
          <w:lang w:val="en-GB"/>
        </w:rPr>
        <w:t xml:space="preserve"> million (</w:t>
      </w:r>
      <w:r w:rsidRPr="00F03720">
        <w:rPr>
          <w:sz w:val="16"/>
          <w:lang w:val="en-GB"/>
        </w:rPr>
        <w:t>-43</w:t>
      </w:r>
      <w:r w:rsidRPr="00F03720">
        <w:rPr>
          <w:sz w:val="16"/>
          <w:lang w:val="en-GB"/>
        </w:rPr>
        <w:t xml:space="preserve">). Net interest totalled EUR </w:t>
      </w:r>
      <w:r w:rsidRPr="00F03720">
        <w:rPr>
          <w:sz w:val="16"/>
          <w:lang w:val="en-GB"/>
        </w:rPr>
        <w:t>-11</w:t>
      </w:r>
      <w:r w:rsidRPr="00F03720">
        <w:rPr>
          <w:sz w:val="16"/>
          <w:lang w:val="en-GB"/>
        </w:rPr>
        <w:t xml:space="preserve"> million (</w:t>
      </w:r>
      <w:r w:rsidRPr="00F03720">
        <w:rPr>
          <w:sz w:val="16"/>
          <w:lang w:val="en-GB"/>
        </w:rPr>
        <w:t>-10</w:t>
      </w:r>
      <w:r w:rsidRPr="00F03720">
        <w:rPr>
          <w:sz w:val="16"/>
          <w:lang w:val="en-GB"/>
        </w:rPr>
        <w:t xml:space="preserve">). Profit before taxes amounted to EUR </w:t>
      </w:r>
      <w:r w:rsidRPr="00F03720">
        <w:rPr>
          <w:sz w:val="16"/>
          <w:lang w:val="en-GB"/>
        </w:rPr>
        <w:t>296</w:t>
      </w:r>
      <w:r w:rsidRPr="00F03720">
        <w:rPr>
          <w:sz w:val="16"/>
          <w:lang w:val="en-GB"/>
        </w:rPr>
        <w:t xml:space="preserve"> million (</w:t>
      </w:r>
      <w:r w:rsidRPr="00F03720">
        <w:rPr>
          <w:sz w:val="16"/>
          <w:lang w:val="en-GB"/>
        </w:rPr>
        <w:t>191</w:t>
      </w:r>
      <w:r w:rsidRPr="00F03720">
        <w:rPr>
          <w:sz w:val="16"/>
          <w:lang w:val="en-GB"/>
        </w:rPr>
        <w:t xml:space="preserve">). Taxes amounted to EUR </w:t>
      </w:r>
      <w:r w:rsidRPr="00F03720">
        <w:rPr>
          <w:sz w:val="16"/>
          <w:lang w:val="en-GB"/>
        </w:rPr>
        <w:t>103</w:t>
      </w:r>
      <w:r w:rsidRPr="00F03720">
        <w:rPr>
          <w:sz w:val="16"/>
          <w:lang w:val="en-GB"/>
        </w:rPr>
        <w:t xml:space="preserve"> million (</w:t>
      </w:r>
      <w:r w:rsidRPr="00F03720">
        <w:rPr>
          <w:sz w:val="16"/>
          <w:lang w:val="en-GB"/>
        </w:rPr>
        <w:t>58</w:t>
      </w:r>
      <w:r w:rsidRPr="00F03720">
        <w:rPr>
          <w:sz w:val="16"/>
          <w:lang w:val="en-GB"/>
        </w:rPr>
        <w:t>), im</w:t>
      </w:r>
      <w:r w:rsidRPr="00F03720">
        <w:rPr>
          <w:sz w:val="16"/>
          <w:lang w:val="en-GB"/>
        </w:rPr>
        <w:t xml:space="preserve">plying an effective tax rate of </w:t>
      </w:r>
      <w:r w:rsidRPr="00F03720">
        <w:rPr>
          <w:sz w:val="16"/>
          <w:lang w:val="en-GB"/>
        </w:rPr>
        <w:t>34.7</w:t>
      </w:r>
      <w:r w:rsidRPr="00F03720">
        <w:rPr>
          <w:sz w:val="16"/>
          <w:lang w:val="en-GB"/>
        </w:rPr>
        <w:t>% (</w:t>
      </w:r>
      <w:r w:rsidRPr="00F03720">
        <w:rPr>
          <w:sz w:val="16"/>
          <w:lang w:val="en-GB"/>
        </w:rPr>
        <w:t>30.3</w:t>
      </w:r>
      <w:r w:rsidRPr="00F03720">
        <w:rPr>
          <w:sz w:val="16"/>
          <w:lang w:val="en-GB"/>
        </w:rPr>
        <w:t xml:space="preserve">). Profit for the financial year amounted to EUR </w:t>
      </w:r>
      <w:r w:rsidRPr="00F03720">
        <w:rPr>
          <w:sz w:val="16"/>
          <w:lang w:val="en-GB"/>
        </w:rPr>
        <w:t>193</w:t>
      </w:r>
      <w:r w:rsidRPr="00F03720">
        <w:rPr>
          <w:sz w:val="16"/>
          <w:lang w:val="en-GB"/>
        </w:rPr>
        <w:t xml:space="preserve"> million (</w:t>
      </w:r>
      <w:r w:rsidRPr="00F03720">
        <w:rPr>
          <w:sz w:val="16"/>
          <w:lang w:val="en-GB"/>
        </w:rPr>
        <w:t>133</w:t>
      </w:r>
      <w:r w:rsidRPr="00F03720">
        <w:rPr>
          <w:sz w:val="16"/>
          <w:lang w:val="en-GB"/>
        </w:rPr>
        <w:t xml:space="preserve">). </w:t>
      </w:r>
      <w:r>
        <w:rPr>
          <w:sz w:val="16"/>
          <w:lang w:val="en-GB"/>
        </w:rPr>
        <w:t>Basic e</w:t>
      </w:r>
      <w:r w:rsidRPr="00F03720">
        <w:rPr>
          <w:sz w:val="16"/>
          <w:lang w:val="en-GB"/>
        </w:rPr>
        <w:t>arnings per shar</w:t>
      </w:r>
      <w:r w:rsidRPr="00F03720">
        <w:rPr>
          <w:sz w:val="16"/>
          <w:lang w:val="en-GB"/>
        </w:rPr>
        <w:t xml:space="preserve">e totalled </w:t>
      </w:r>
      <w:r w:rsidRPr="00F03720">
        <w:rPr>
          <w:sz w:val="16"/>
          <w:lang w:val="en-GB"/>
        </w:rPr>
        <w:t>0.33</w:t>
      </w:r>
      <w:r w:rsidRPr="00F03720">
        <w:rPr>
          <w:sz w:val="16"/>
          <w:lang w:val="en-GB"/>
        </w:rPr>
        <w:t xml:space="preserve"> euro (</w:t>
      </w:r>
      <w:r w:rsidRPr="00F03720">
        <w:rPr>
          <w:sz w:val="16"/>
          <w:lang w:val="en-GB"/>
        </w:rPr>
        <w:t>0.23</w:t>
      </w:r>
      <w:r w:rsidRPr="00F03720">
        <w:rPr>
          <w:sz w:val="16"/>
          <w:lang w:val="en-GB"/>
        </w:rPr>
        <w:t xml:space="preserve">). Return on investment (ROI) was </w:t>
      </w:r>
      <w:r w:rsidRPr="00F03720">
        <w:rPr>
          <w:sz w:val="16"/>
          <w:lang w:val="en-GB"/>
        </w:rPr>
        <w:t>9.7</w:t>
      </w:r>
      <w:r w:rsidRPr="00F03720">
        <w:rPr>
          <w:sz w:val="16"/>
          <w:lang w:val="en-GB"/>
        </w:rPr>
        <w:t>% (</w:t>
      </w:r>
      <w:r w:rsidRPr="00F03720">
        <w:rPr>
          <w:sz w:val="16"/>
          <w:lang w:val="en-GB"/>
        </w:rPr>
        <w:t>7.1</w:t>
      </w:r>
      <w:r w:rsidRPr="00F03720">
        <w:rPr>
          <w:sz w:val="16"/>
          <w:lang w:val="en-GB"/>
        </w:rPr>
        <w:t xml:space="preserve">), while return on equity (ROE) was </w:t>
      </w:r>
      <w:r w:rsidRPr="00F03720">
        <w:rPr>
          <w:sz w:val="16"/>
          <w:lang w:val="en-GB"/>
        </w:rPr>
        <w:t>8.6</w:t>
      </w:r>
      <w:r w:rsidRPr="00F03720">
        <w:rPr>
          <w:sz w:val="16"/>
          <w:lang w:val="en-GB"/>
        </w:rPr>
        <w:t>% (</w:t>
      </w:r>
      <w:r w:rsidRPr="00F03720">
        <w:rPr>
          <w:sz w:val="16"/>
          <w:lang w:val="en-GB"/>
        </w:rPr>
        <w:t>5.8</w:t>
      </w:r>
      <w:r w:rsidRPr="00F03720">
        <w:rPr>
          <w:sz w:val="16"/>
          <w:lang w:val="en-GB"/>
        </w:rPr>
        <w:t>).</w:t>
      </w:r>
    </w:p>
    <w:p w:rsidR="00F714BD" w:rsidRPr="003B3A2A" w:rsidP="00577CEC" w14:paraId="011A9C0A" w14:textId="4D7619F6">
      <w:pPr>
        <w:pStyle w:val="WHeading3"/>
      </w:pPr>
      <w:bookmarkStart w:id="8" w:name="RG_MARKER_7286"/>
      <w:r w:rsidRPr="003B3A2A">
        <w:t>Financing and cash flow</w:t>
      </w:r>
      <w:bookmarkEnd w:id="8"/>
    </w:p>
    <w:p w:rsidR="00F24723" w:rsidRPr="00F47F5D" w:rsidP="00CB6452" w14:paraId="7049BA74" w14:textId="4EAD8BCC">
      <w:pPr>
        <w:pStyle w:val="WNormal"/>
        <w:rPr>
          <w:color w:val="111111"/>
          <w:sz w:val="16"/>
          <w:szCs w:val="16"/>
          <w:lang w:val="en-GB"/>
        </w:rPr>
      </w:pPr>
      <w:r w:rsidRPr="00F47F5D">
        <w:rPr>
          <w:color w:val="111111"/>
          <w:sz w:val="16"/>
          <w:szCs w:val="16"/>
          <w:lang w:val="en-GB"/>
        </w:rPr>
        <w:t xml:space="preserve">Wärtsilä’s cash flow from operating activities in </w:t>
      </w:r>
      <w:r w:rsidRPr="00F47F5D">
        <w:rPr>
          <w:color w:val="111111"/>
          <w:sz w:val="16"/>
          <w:szCs w:val="16"/>
          <w:lang w:val="en-GB"/>
        </w:rPr>
        <w:t>2021</w:t>
      </w:r>
      <w:r w:rsidRPr="00F47F5D">
        <w:rPr>
          <w:color w:val="111111"/>
          <w:sz w:val="16"/>
          <w:szCs w:val="16"/>
          <w:lang w:val="en-GB"/>
        </w:rPr>
        <w:t xml:space="preserve"> </w:t>
      </w:r>
      <w:r w:rsidRPr="00F47F5D" w:rsidR="00477ABA">
        <w:rPr>
          <w:color w:val="111111"/>
          <w:sz w:val="16"/>
          <w:szCs w:val="16"/>
          <w:lang w:val="en-GB"/>
        </w:rPr>
        <w:t xml:space="preserve">totalled </w:t>
      </w:r>
      <w:r w:rsidRPr="00F47F5D">
        <w:rPr>
          <w:color w:val="111111"/>
          <w:sz w:val="16"/>
          <w:szCs w:val="16"/>
          <w:lang w:val="en-GB"/>
        </w:rPr>
        <w:t xml:space="preserve">EUR </w:t>
      </w:r>
      <w:r w:rsidRPr="00F47F5D">
        <w:rPr>
          <w:color w:val="111111"/>
          <w:sz w:val="16"/>
          <w:szCs w:val="16"/>
          <w:lang w:val="en-GB"/>
        </w:rPr>
        <w:t>731</w:t>
      </w:r>
      <w:r w:rsidRPr="00F47F5D">
        <w:rPr>
          <w:color w:val="111111"/>
          <w:sz w:val="16"/>
          <w:szCs w:val="16"/>
          <w:lang w:val="en-GB"/>
        </w:rPr>
        <w:t xml:space="preserve"> million (</w:t>
      </w:r>
      <w:r w:rsidRPr="00F47F5D">
        <w:rPr>
          <w:color w:val="111111"/>
          <w:sz w:val="16"/>
          <w:szCs w:val="16"/>
          <w:lang w:val="en-GB"/>
        </w:rPr>
        <w:t>681</w:t>
      </w:r>
      <w:r w:rsidRPr="00F47F5D">
        <w:rPr>
          <w:color w:val="111111"/>
          <w:sz w:val="16"/>
          <w:szCs w:val="16"/>
          <w:lang w:val="en-GB"/>
        </w:rPr>
        <w:t>)</w:t>
      </w:r>
      <w:r w:rsidRPr="00F47F5D" w:rsidR="00477ABA">
        <w:rPr>
          <w:color w:val="111111"/>
          <w:sz w:val="16"/>
          <w:szCs w:val="16"/>
          <w:lang w:val="en-GB"/>
        </w:rPr>
        <w:t>, supported by favourable working capital development</w:t>
      </w:r>
      <w:r w:rsidRPr="00F47F5D">
        <w:rPr>
          <w:color w:val="111111"/>
          <w:sz w:val="16"/>
          <w:szCs w:val="16"/>
          <w:lang w:val="en-GB"/>
        </w:rPr>
        <w:t xml:space="preserve">. Working capital </w:t>
      </w:r>
      <w:r w:rsidRPr="00F47F5D" w:rsidR="00477ABA">
        <w:rPr>
          <w:color w:val="111111"/>
          <w:sz w:val="16"/>
          <w:szCs w:val="16"/>
          <w:lang w:val="en-GB"/>
        </w:rPr>
        <w:t>totalled</w:t>
      </w:r>
      <w:r w:rsidRPr="00F47F5D">
        <w:rPr>
          <w:color w:val="111111"/>
          <w:sz w:val="16"/>
          <w:szCs w:val="16"/>
          <w:lang w:val="en-GB"/>
        </w:rPr>
        <w:t xml:space="preserve"> EUR </w:t>
      </w:r>
      <w:r w:rsidRPr="00F47F5D">
        <w:rPr>
          <w:color w:val="111111"/>
          <w:sz w:val="16"/>
          <w:szCs w:val="16"/>
          <w:lang w:val="en-GB"/>
        </w:rPr>
        <w:t>-100</w:t>
      </w:r>
      <w:r w:rsidRPr="00F47F5D">
        <w:rPr>
          <w:color w:val="111111"/>
          <w:sz w:val="16"/>
          <w:szCs w:val="16"/>
          <w:lang w:val="en-GB"/>
        </w:rPr>
        <w:t xml:space="preserve"> million at the end of the year (</w:t>
      </w:r>
      <w:r w:rsidRPr="00F47F5D">
        <w:rPr>
          <w:color w:val="111111"/>
          <w:sz w:val="16"/>
          <w:szCs w:val="16"/>
          <w:lang w:val="en-GB"/>
        </w:rPr>
        <w:t>257</w:t>
      </w:r>
      <w:r w:rsidRPr="00F47F5D">
        <w:rPr>
          <w:color w:val="111111"/>
          <w:sz w:val="16"/>
          <w:szCs w:val="16"/>
          <w:lang w:val="en-GB"/>
        </w:rPr>
        <w:t>)</w:t>
      </w:r>
      <w:bookmarkStart w:id="9" w:name="_Hlk61526903"/>
      <w:r w:rsidRPr="00F47F5D">
        <w:rPr>
          <w:color w:val="111111"/>
          <w:sz w:val="16"/>
          <w:szCs w:val="16"/>
          <w:lang w:val="en-GB"/>
        </w:rPr>
        <w:t>.</w:t>
      </w:r>
      <w:bookmarkEnd w:id="9"/>
      <w:r w:rsidRPr="00F47F5D">
        <w:rPr>
          <w:color w:val="111111"/>
          <w:sz w:val="16"/>
          <w:szCs w:val="16"/>
          <w:lang w:val="en-GB"/>
        </w:rPr>
        <w:t xml:space="preserve"> Advances received totalled EUR </w:t>
      </w:r>
      <w:r w:rsidRPr="00F47F5D">
        <w:rPr>
          <w:color w:val="111111"/>
          <w:sz w:val="16"/>
          <w:szCs w:val="16"/>
          <w:lang w:val="en-GB"/>
        </w:rPr>
        <w:t>498</w:t>
      </w:r>
      <w:r w:rsidRPr="00F47F5D">
        <w:rPr>
          <w:color w:val="111111"/>
          <w:sz w:val="16"/>
          <w:szCs w:val="16"/>
          <w:lang w:val="en-GB"/>
        </w:rPr>
        <w:t xml:space="preserve"> million (</w:t>
      </w:r>
      <w:r w:rsidRPr="00F47F5D">
        <w:rPr>
          <w:color w:val="111111"/>
          <w:sz w:val="16"/>
          <w:szCs w:val="16"/>
          <w:lang w:val="en-GB"/>
        </w:rPr>
        <w:t>452</w:t>
      </w:r>
      <w:r w:rsidRPr="00F47F5D">
        <w:rPr>
          <w:color w:val="111111"/>
          <w:sz w:val="16"/>
          <w:szCs w:val="16"/>
          <w:lang w:val="en-GB"/>
        </w:rPr>
        <w:t xml:space="preserve">). </w:t>
      </w:r>
      <w:r w:rsidRPr="00F47F5D" w:rsidR="00477ABA">
        <w:rPr>
          <w:color w:val="111111"/>
          <w:sz w:val="16"/>
          <w:szCs w:val="16"/>
          <w:lang w:val="en-GB"/>
        </w:rPr>
        <w:t xml:space="preserve">There were no additional advances pertaining to assets held for sale </w:t>
      </w:r>
      <w:r w:rsidRPr="00F47F5D">
        <w:rPr>
          <w:color w:val="111111"/>
          <w:sz w:val="16"/>
          <w:szCs w:val="16"/>
          <w:lang w:val="en-GB"/>
        </w:rPr>
        <w:t>(</w:t>
      </w:r>
      <w:r w:rsidRPr="00F47F5D">
        <w:rPr>
          <w:color w:val="111111"/>
          <w:sz w:val="16"/>
          <w:szCs w:val="16"/>
          <w:lang w:val="en-GB"/>
        </w:rPr>
        <w:t>38</w:t>
      </w:r>
      <w:r w:rsidRPr="00F47F5D" w:rsidR="00477ABA">
        <w:rPr>
          <w:color w:val="111111"/>
          <w:sz w:val="16"/>
          <w:szCs w:val="16"/>
          <w:lang w:val="en-GB"/>
        </w:rPr>
        <w:t>)</w:t>
      </w:r>
      <w:r w:rsidRPr="00F47F5D">
        <w:rPr>
          <w:color w:val="111111"/>
          <w:sz w:val="16"/>
          <w:szCs w:val="16"/>
          <w:lang w:val="en-GB"/>
        </w:rPr>
        <w:t>.</w:t>
      </w:r>
    </w:p>
    <w:p w:rsidR="00F762EC" w:rsidRPr="00F47F5D" w:rsidP="00CB6452" w14:paraId="0C492AB7" w14:textId="101FDFF5">
      <w:pPr>
        <w:pStyle w:val="WNormal"/>
        <w:rPr>
          <w:color w:val="111111"/>
          <w:sz w:val="16"/>
          <w:szCs w:val="16"/>
          <w:lang w:val="en-GB"/>
        </w:rPr>
      </w:pPr>
      <w:r w:rsidRPr="00F47F5D">
        <w:rPr>
          <w:color w:val="111111"/>
          <w:sz w:val="16"/>
          <w:szCs w:val="16"/>
          <w:lang w:val="en-GB"/>
        </w:rPr>
        <w:t>Wärtsilä aims to ensure sufficient liquidity at all times through efficient cash management and by maintaining t</w:t>
      </w:r>
      <w:r w:rsidRPr="00F47F5D">
        <w:rPr>
          <w:color w:val="111111"/>
          <w:sz w:val="16"/>
          <w:szCs w:val="16"/>
          <w:lang w:val="en-GB"/>
        </w:rPr>
        <w:t>he availability of sufficient committed and uncommitted credit lines. Refinancing risk is managed by having a balanced and sufficiently long loan portfolio.</w:t>
      </w:r>
    </w:p>
    <w:p w:rsidR="00287C8C" w:rsidRPr="00F47F5D" w:rsidP="00CB6452" w14:paraId="6D79E931" w14:textId="6815D040">
      <w:pPr>
        <w:pStyle w:val="WNormal"/>
        <w:rPr>
          <w:color w:val="111111"/>
          <w:sz w:val="16"/>
          <w:szCs w:val="16"/>
          <w:lang w:val="en-GB"/>
        </w:rPr>
      </w:pPr>
      <w:r w:rsidRPr="00F47F5D">
        <w:rPr>
          <w:color w:val="111111"/>
          <w:sz w:val="16"/>
          <w:szCs w:val="16"/>
          <w:lang w:val="en-GB"/>
        </w:rPr>
        <w:t xml:space="preserve">Cash and cash equivalents amounted to EUR </w:t>
      </w:r>
      <w:r w:rsidRPr="00F47F5D">
        <w:rPr>
          <w:color w:val="111111"/>
          <w:sz w:val="16"/>
          <w:szCs w:val="16"/>
          <w:lang w:val="en-GB"/>
        </w:rPr>
        <w:t>964</w:t>
      </w:r>
      <w:r w:rsidRPr="00F47F5D">
        <w:rPr>
          <w:color w:val="111111"/>
          <w:sz w:val="16"/>
          <w:szCs w:val="16"/>
          <w:lang w:val="en-GB"/>
        </w:rPr>
        <w:t xml:space="preserve"> million at the end of the year (</w:t>
      </w:r>
      <w:r w:rsidRPr="00F47F5D">
        <w:rPr>
          <w:color w:val="111111"/>
          <w:sz w:val="16"/>
          <w:szCs w:val="16"/>
          <w:lang w:val="en-GB"/>
        </w:rPr>
        <w:t>919</w:t>
      </w:r>
      <w:r w:rsidRPr="00F47F5D">
        <w:rPr>
          <w:color w:val="111111"/>
          <w:sz w:val="16"/>
          <w:szCs w:val="16"/>
          <w:lang w:val="en-GB"/>
        </w:rPr>
        <w:t>). There were no additional cash or cash equivalents pertaining to assets held for sale (</w:t>
      </w:r>
      <w:r w:rsidRPr="00F47F5D">
        <w:rPr>
          <w:color w:val="111111"/>
          <w:sz w:val="16"/>
          <w:szCs w:val="16"/>
          <w:lang w:val="en-GB"/>
        </w:rPr>
        <w:t>14</w:t>
      </w:r>
      <w:r w:rsidRPr="00F47F5D">
        <w:rPr>
          <w:color w:val="111111"/>
          <w:sz w:val="16"/>
          <w:szCs w:val="16"/>
          <w:lang w:val="en-GB"/>
        </w:rPr>
        <w:t xml:space="preserve">). Unutilised committed credit facilities totalled EUR </w:t>
      </w:r>
      <w:r w:rsidRPr="00F47F5D">
        <w:rPr>
          <w:color w:val="111111"/>
          <w:sz w:val="16"/>
          <w:szCs w:val="16"/>
          <w:lang w:val="en-GB"/>
        </w:rPr>
        <w:t>650</w:t>
      </w:r>
      <w:r w:rsidRPr="00F47F5D">
        <w:rPr>
          <w:color w:val="111111"/>
          <w:sz w:val="16"/>
          <w:szCs w:val="16"/>
          <w:lang w:val="en-GB"/>
        </w:rPr>
        <w:t xml:space="preserve"> million (</w:t>
      </w:r>
      <w:r w:rsidRPr="00F47F5D">
        <w:rPr>
          <w:color w:val="111111"/>
          <w:sz w:val="16"/>
          <w:szCs w:val="16"/>
          <w:lang w:val="en-GB"/>
        </w:rPr>
        <w:t>660</w:t>
      </w:r>
      <w:r w:rsidRPr="00F47F5D">
        <w:rPr>
          <w:color w:val="111111"/>
          <w:sz w:val="16"/>
          <w:szCs w:val="16"/>
          <w:lang w:val="en-GB"/>
        </w:rPr>
        <w:t>).</w:t>
      </w:r>
    </w:p>
    <w:p w:rsidR="00287C8C" w14:paraId="27E30330" w14:textId="77777777">
      <w:pPr>
        <w:spacing w:line="259" w:lineRule="auto"/>
        <w:rPr>
          <w:rFonts w:ascii="Arial" w:hAnsi="Arial" w:cs="Arial"/>
          <w:color w:val="111111"/>
          <w:spacing w:val="2"/>
          <w:sz w:val="16"/>
          <w:szCs w:val="16"/>
          <w:lang w:val="en-GB"/>
        </w:rPr>
      </w:pPr>
      <w:r>
        <w:rPr>
          <w:sz w:val="16"/>
          <w:lang w:val="en-GB"/>
        </w:rPr>
        <w:br w:type="page"/>
      </w:r>
    </w:p>
    <w:tbl>
      <w:tblPr>
        <w:tblStyle w:val="TableGrid"/>
        <w:tblpPr w:leftFromText="180" w:rightFromText="180" w:vertAnchor="text" w:horzAnchor="margin" w:tblpXSpec="center" w:tblpY="-22"/>
        <w:tblW w:w="47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
      <w:tblGrid>
        <w:gridCol w:w="4739"/>
      </w:tblGrid>
      <w:tr w14:paraId="51A0AFAB" w14:textId="77777777" w:rsidTr="00850604">
        <w:tblPrEx>
          <w:tblW w:w="47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Ex>
        <w:trPr>
          <w:trHeight w:val="1268"/>
        </w:trPr>
        <w:tc>
          <w:tcPr>
            <w:tcW w:w="4739" w:type="dxa"/>
            <w:tcMar>
              <w:top w:w="0" w:type="dxa"/>
              <w:left w:w="0" w:type="dxa"/>
              <w:bottom w:w="0" w:type="dxa"/>
              <w:right w:w="0" w:type="dxa"/>
            </w:tcMar>
          </w:tcPr>
          <w:p w:rsidR="00850604" w:rsidRPr="00DA49CF" w:rsidP="00850604" w14:paraId="09AD660D" w14:textId="77777777">
            <w:pPr>
              <w:pStyle w:val="Subtitle"/>
              <w:rPr>
                <w:color w:val="0F172B"/>
                <w:sz w:val="16"/>
              </w:rPr>
            </w:pPr>
            <w:r w:rsidRPr="00DA49CF">
              <w:rPr>
                <w:color w:val="0F172B"/>
                <w:sz w:val="16"/>
              </w:rPr>
              <w:t>Maturity profiles of long-term loans</w:t>
            </w:r>
          </w:p>
          <w:p w:rsidR="00850604" w:rsidRPr="00DA49CF" w:rsidP="00850604" w14:paraId="5C30A7C2" w14:textId="77777777">
            <w:pPr>
              <w:suppressAutoHyphens/>
              <w:spacing w:after="240" w:line="276" w:lineRule="auto"/>
              <w:rPr>
                <w:rFonts w:ascii="Arial" w:hAnsi="Arial" w:cs="Arial"/>
                <w:spacing w:val="2"/>
                <w:sz w:val="16"/>
                <w:szCs w:val="16"/>
                <w:lang w:val="en-GB"/>
              </w:rPr>
            </w:pPr>
            <w:r>
              <w:drawing>
                <wp:inline>
                  <wp:extent cx="2981322" cy="1869618"/>
                  <wp:docPr id="2103942274" name="Chart_Long-term loans_E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r w14:paraId="320B5775" w14:textId="77777777" w:rsidTr="00850604">
        <w:tblPrEx>
          <w:tblW w:w="4739" w:type="dxa"/>
          <w:tblCellMar>
            <w:left w:w="0" w:type="dxa"/>
            <w:right w:w="0" w:type="dxa"/>
          </w:tblCellMar>
          <w:tblLook w:val="04A0"/>
        </w:tblPrEx>
        <w:trPr>
          <w:trHeight w:val="1313"/>
        </w:trPr>
        <w:tc>
          <w:tcPr>
            <w:tcW w:w="4739" w:type="dxa"/>
            <w:tcMar>
              <w:top w:w="0" w:type="dxa"/>
              <w:left w:w="0" w:type="dxa"/>
              <w:bottom w:w="0" w:type="dxa"/>
              <w:right w:w="0" w:type="dxa"/>
            </w:tcMar>
          </w:tcPr>
          <w:p w:rsidR="00850604" w:rsidRPr="00DA49CF" w:rsidP="00850604" w14:paraId="182C4A16" w14:textId="77777777">
            <w:pPr>
              <w:pStyle w:val="Subtitle"/>
              <w:rPr>
                <w:color w:val="0F172B"/>
                <w:sz w:val="16"/>
              </w:rPr>
            </w:pPr>
            <w:r w:rsidRPr="00DA49CF">
              <w:rPr>
                <w:color w:val="0F172B"/>
                <w:sz w:val="16"/>
              </w:rPr>
              <w:t xml:space="preserve">Gearing </w:t>
            </w:r>
          </w:p>
          <w:p w:rsidR="00850604" w:rsidRPr="00DA49CF" w:rsidP="00850604" w14:paraId="7622D9D2" w14:textId="77777777">
            <w:pPr>
              <w:suppressAutoHyphens/>
              <w:spacing w:after="240" w:line="276" w:lineRule="auto"/>
              <w:rPr>
                <w:rFonts w:ascii="Arial" w:hAnsi="Arial" w:cs="Arial"/>
                <w:spacing w:val="2"/>
                <w:sz w:val="16"/>
                <w:szCs w:val="16"/>
                <w:lang w:val="fi-FI"/>
              </w:rPr>
            </w:pPr>
            <w:r>
              <w:drawing>
                <wp:inline>
                  <wp:extent cx="3050645" cy="1620000"/>
                  <wp:docPr id="2103942275" name="Chart_Gearing"/>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rsidR="00EA1C4A" w:rsidRPr="00073B25" w:rsidP="00EA1C4A" w14:paraId="78F3FC67" w14:textId="77777777">
      <w:pPr>
        <w:pStyle w:val="Wnormal0"/>
        <w:rPr>
          <w:sz w:val="16"/>
          <w:lang w:val="en-GB"/>
        </w:rPr>
      </w:pPr>
      <w:r w:rsidRPr="00073B25">
        <w:rPr>
          <w:sz w:val="16"/>
          <w:lang w:val="en-GB"/>
        </w:rPr>
        <w:t>Wärtsilä</w:t>
      </w:r>
      <w:r w:rsidRPr="00073B25">
        <w:rPr>
          <w:sz w:val="16"/>
          <w:lang w:val="en-GB"/>
        </w:rPr>
        <w:t xml:space="preserve"> had interest-bearing debt totalling EUR </w:t>
      </w:r>
      <w:r w:rsidRPr="00073B25">
        <w:rPr>
          <w:sz w:val="16"/>
          <w:lang w:val="en-GB"/>
        </w:rPr>
        <w:t>973</w:t>
      </w:r>
      <w:r w:rsidRPr="00073B25">
        <w:rPr>
          <w:sz w:val="16"/>
          <w:lang w:val="en-GB"/>
        </w:rPr>
        <w:t xml:space="preserve"> million at the end of the year (</w:t>
      </w:r>
      <w:r w:rsidRPr="00073B25">
        <w:rPr>
          <w:sz w:val="16"/>
          <w:lang w:val="en-GB"/>
        </w:rPr>
        <w:t>1,327</w:t>
      </w:r>
      <w:r w:rsidRPr="00073B25">
        <w:rPr>
          <w:sz w:val="16"/>
          <w:lang w:val="en-GB"/>
        </w:rPr>
        <w:t xml:space="preserve">). The total amount of short-term debt maturing within the next 12 months was EUR </w:t>
      </w:r>
      <w:r w:rsidRPr="00073B25">
        <w:rPr>
          <w:sz w:val="16"/>
          <w:lang w:val="en-GB"/>
        </w:rPr>
        <w:t>121</w:t>
      </w:r>
      <w:r w:rsidRPr="00073B25">
        <w:rPr>
          <w:sz w:val="16"/>
          <w:lang w:val="en-GB"/>
        </w:rPr>
        <w:t xml:space="preserve"> million. Long-term loans amounted to EUR </w:t>
      </w:r>
      <w:r w:rsidRPr="00073B25">
        <w:rPr>
          <w:sz w:val="16"/>
          <w:lang w:val="en-GB"/>
        </w:rPr>
        <w:t>851</w:t>
      </w:r>
      <w:r w:rsidRPr="00073B25">
        <w:rPr>
          <w:sz w:val="16"/>
          <w:lang w:val="en-GB"/>
        </w:rPr>
        <w:t xml:space="preserve"> million.</w:t>
      </w:r>
    </w:p>
    <w:p w:rsidR="000C6BA7" w:rsidP="007D14D7" w14:paraId="4326E225" w14:textId="5C399D4A">
      <w:pPr>
        <w:pStyle w:val="Wnormal0"/>
        <w:rPr>
          <w:sz w:val="16"/>
          <w:lang w:val="en-GB"/>
        </w:rPr>
      </w:pPr>
      <w:r w:rsidRPr="00073B25">
        <w:rPr>
          <w:sz w:val="16"/>
          <w:lang w:val="en-GB"/>
        </w:rPr>
        <w:t xml:space="preserve">Net interest-bearing debt totalled EUR </w:t>
      </w:r>
      <w:r w:rsidRPr="00073B25">
        <w:rPr>
          <w:sz w:val="16"/>
          <w:lang w:val="en-GB"/>
        </w:rPr>
        <w:t>4</w:t>
      </w:r>
      <w:r w:rsidRPr="00073B25">
        <w:rPr>
          <w:sz w:val="16"/>
          <w:lang w:val="en-GB"/>
        </w:rPr>
        <w:t xml:space="preserve"> million (</w:t>
      </w:r>
      <w:r w:rsidRPr="00073B25">
        <w:rPr>
          <w:sz w:val="16"/>
          <w:lang w:val="en-GB"/>
        </w:rPr>
        <w:t>394</w:t>
      </w:r>
      <w:r w:rsidRPr="00073B25">
        <w:rPr>
          <w:sz w:val="16"/>
          <w:lang w:val="en-GB"/>
        </w:rPr>
        <w:t xml:space="preserve">). Gearing was </w:t>
      </w:r>
      <w:r w:rsidRPr="00073B25">
        <w:rPr>
          <w:sz w:val="16"/>
          <w:lang w:val="en-GB"/>
        </w:rPr>
        <w:t>0.00</w:t>
      </w:r>
      <w:r w:rsidRPr="00073B25">
        <w:rPr>
          <w:sz w:val="16"/>
          <w:lang w:val="en-GB"/>
        </w:rPr>
        <w:t xml:space="preserve"> (</w:t>
      </w:r>
      <w:r w:rsidRPr="00073B25">
        <w:rPr>
          <w:sz w:val="16"/>
          <w:lang w:val="en-GB"/>
        </w:rPr>
        <w:t>0.18</w:t>
      </w:r>
      <w:r w:rsidRPr="00073B25">
        <w:rPr>
          <w:sz w:val="16"/>
          <w:lang w:val="en-GB"/>
        </w:rPr>
        <w:t xml:space="preserve">), while the solvency ratio was </w:t>
      </w:r>
      <w:r w:rsidRPr="00073B25">
        <w:rPr>
          <w:sz w:val="16"/>
          <w:lang w:val="en-GB"/>
        </w:rPr>
        <w:t>38.6</w:t>
      </w:r>
      <w:r w:rsidRPr="00073B25">
        <w:rPr>
          <w:sz w:val="16"/>
          <w:lang w:val="en-GB"/>
        </w:rPr>
        <w:t>% (</w:t>
      </w:r>
      <w:r w:rsidRPr="00073B25">
        <w:rPr>
          <w:sz w:val="16"/>
          <w:lang w:val="en-GB"/>
        </w:rPr>
        <w:t>38.1</w:t>
      </w:r>
      <w:r w:rsidRPr="00073B25">
        <w:rPr>
          <w:sz w:val="16"/>
          <w:lang w:val="en-GB"/>
        </w:rPr>
        <w:t xml:space="preserve">). Equity per share was </w:t>
      </w:r>
      <w:r w:rsidRPr="00073B25">
        <w:rPr>
          <w:sz w:val="16"/>
          <w:lang w:val="en-GB"/>
        </w:rPr>
        <w:t>3.92</w:t>
      </w:r>
      <w:r w:rsidRPr="00073B25">
        <w:rPr>
          <w:sz w:val="16"/>
          <w:lang w:val="en-GB"/>
        </w:rPr>
        <w:t xml:space="preserve"> euro (</w:t>
      </w:r>
      <w:r w:rsidRPr="00073B25">
        <w:rPr>
          <w:sz w:val="16"/>
          <w:lang w:val="en-GB"/>
        </w:rPr>
        <w:t>3.68</w:t>
      </w:r>
      <w:r w:rsidRPr="00073B25">
        <w:rPr>
          <w:sz w:val="16"/>
          <w:lang w:val="en-GB"/>
        </w:rPr>
        <w:t>).</w:t>
      </w:r>
    </w:p>
    <w:p w:rsidR="00F47F5D" w:rsidP="007D14D7" w14:paraId="295400D7" w14:textId="705FF6B2">
      <w:pPr>
        <w:pStyle w:val="Wnormal0"/>
        <w:rPr>
          <w:sz w:val="16"/>
          <w:lang w:val="en-GB"/>
        </w:rPr>
      </w:pPr>
      <w:r>
        <w:rPr>
          <w:noProof/>
        </w:rPr>
        <w:drawing>
          <wp:inline distT="0" distB="0" distL="0" distR="0">
            <wp:extent cx="3035935" cy="2371725"/>
            <wp:effectExtent l="0" t="0" r="0" b="9525"/>
            <wp:docPr id="676198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150649" name=""/>
                    <pic:cNvPicPr/>
                  </pic:nvPicPr>
                  <pic:blipFill>
                    <a:blip xmlns:r="http://schemas.openxmlformats.org/officeDocument/2006/relationships" r:embed="rId16"/>
                    <a:stretch>
                      <a:fillRect/>
                    </a:stretch>
                  </pic:blipFill>
                  <pic:spPr>
                    <a:xfrm>
                      <a:off x="0" y="0"/>
                      <a:ext cx="3035935" cy="2371725"/>
                    </a:xfrm>
                    <a:prstGeom prst="rect">
                      <a:avLst/>
                    </a:prstGeom>
                  </pic:spPr>
                </pic:pic>
              </a:graphicData>
            </a:graphic>
          </wp:inline>
        </w:drawing>
      </w:r>
    </w:p>
    <w:tbl>
      <w:tblPr>
        <w:tblStyle w:val="TableGrid"/>
        <w:tblW w:w="47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
      <w:tblGrid>
        <w:gridCol w:w="4739"/>
      </w:tblGrid>
      <w:tr w14:paraId="2D4BB68C" w14:textId="77777777" w:rsidTr="00F47F5D">
        <w:tblPrEx>
          <w:tblW w:w="47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Ex>
        <w:trPr>
          <w:trHeight w:val="1121"/>
        </w:trPr>
        <w:tc>
          <w:tcPr>
            <w:tcW w:w="4739" w:type="dxa"/>
            <w:tcMar>
              <w:top w:w="0" w:type="dxa"/>
              <w:left w:w="0" w:type="dxa"/>
              <w:bottom w:w="0" w:type="dxa"/>
              <w:right w:w="0" w:type="dxa"/>
            </w:tcMar>
          </w:tcPr>
          <w:p w:rsidR="00F47F5D" w:rsidRPr="00DA49CF" w:rsidP="00F47F5D" w14:paraId="76286EFB" w14:textId="77777777">
            <w:pPr>
              <w:pStyle w:val="Subtitle"/>
              <w:rPr>
                <w:color w:val="0F172B"/>
                <w:sz w:val="16"/>
              </w:rPr>
            </w:pPr>
            <w:r w:rsidRPr="00DA49CF">
              <w:rPr>
                <w:color w:val="0F172B"/>
                <w:sz w:val="16"/>
              </w:rPr>
              <w:t>Committed revolving credit facilities (end of period)</w:t>
            </w:r>
          </w:p>
          <w:p w:rsidR="00F47F5D" w:rsidRPr="00DA49CF" w:rsidP="00F47F5D" w14:paraId="08367C50" w14:textId="77777777">
            <w:pPr>
              <w:suppressAutoHyphens/>
              <w:spacing w:after="240" w:line="276" w:lineRule="auto"/>
              <w:rPr>
                <w:rFonts w:ascii="Arial" w:hAnsi="Arial" w:cs="Arial"/>
                <w:spacing w:val="2"/>
                <w:sz w:val="16"/>
                <w:szCs w:val="16"/>
                <w:lang w:val="fi-FI"/>
              </w:rPr>
            </w:pPr>
            <w:r>
              <w:drawing>
                <wp:inline>
                  <wp:extent cx="3049499" cy="1620000"/>
                  <wp:docPr id="2103942276" name="Chart_Credit facilities"/>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147C77" w:rsidRPr="00BE2265" w:rsidP="003D701D" w14:paraId="5B4D9E45" w14:textId="653CD774">
      <w:pPr>
        <w:pStyle w:val="WHeading3"/>
      </w:pPr>
      <w:bookmarkStart w:id="10" w:name="RG_MARKER_7287"/>
      <w:r w:rsidRPr="00BE2265">
        <w:t>Capital expenditure</w:t>
      </w:r>
      <w:bookmarkEnd w:id="10"/>
    </w:p>
    <w:p w:rsidR="00C769C8" w:rsidRPr="00F5782B" w:rsidP="00974F22" w14:paraId="730FEA1C" w14:textId="31101518">
      <w:pPr>
        <w:pStyle w:val="WNormal"/>
        <w:rPr>
          <w:lang w:val="en-GB" w:bidi="ar-TN"/>
        </w:rPr>
      </w:pPr>
      <w:r w:rsidRPr="00F5782B">
        <w:rPr>
          <w:lang w:val="en-GB" w:bidi="ar-TN"/>
        </w:rPr>
        <w:t xml:space="preserve">Capital expenditure related to intangible assets and property, plant, and equipment amounted to EUR </w:t>
      </w:r>
      <w:r w:rsidRPr="00F5782B">
        <w:rPr>
          <w:lang w:val="en-GB" w:bidi="ar-TN"/>
        </w:rPr>
        <w:t>142</w:t>
      </w:r>
      <w:r w:rsidRPr="00F5782B">
        <w:rPr>
          <w:lang w:val="en-GB" w:bidi="ar-TN"/>
        </w:rPr>
        <w:t xml:space="preserve"> million (</w:t>
      </w:r>
      <w:r w:rsidRPr="00F5782B">
        <w:rPr>
          <w:lang w:val="en-GB" w:bidi="ar-TN"/>
        </w:rPr>
        <w:t>115</w:t>
      </w:r>
      <w:r w:rsidRPr="00F5782B">
        <w:rPr>
          <w:lang w:val="en-GB" w:bidi="ar-TN"/>
        </w:rPr>
        <w:t xml:space="preserve">) in </w:t>
      </w:r>
      <w:r w:rsidRPr="00F5782B">
        <w:rPr>
          <w:lang w:val="en-GB" w:bidi="ar-TN"/>
        </w:rPr>
        <w:t>2021</w:t>
      </w:r>
      <w:r w:rsidRPr="00F5782B">
        <w:rPr>
          <w:lang w:val="en-GB" w:bidi="ar-TN"/>
        </w:rPr>
        <w:t>, largely driv</w:t>
      </w:r>
      <w:r w:rsidRPr="00F5782B">
        <w:rPr>
          <w:lang w:val="en-GB" w:bidi="ar-TN"/>
        </w:rPr>
        <w:t xml:space="preserve">en by the construction of Smart Technology Hub, a new centre of research, product development, and manufacturing in Vaasa, Finland. Capital expenditure related to acquisitions and investments in securities totalled EUR </w:t>
      </w:r>
      <w:r w:rsidRPr="00F5782B">
        <w:rPr>
          <w:lang w:val="en-GB" w:bidi="ar-TN"/>
        </w:rPr>
        <w:t>1</w:t>
      </w:r>
      <w:r w:rsidRPr="00F5782B">
        <w:rPr>
          <w:lang w:val="en-GB" w:bidi="ar-TN"/>
        </w:rPr>
        <w:t xml:space="preserve"> million (</w:t>
      </w:r>
      <w:r w:rsidRPr="00F5782B">
        <w:rPr>
          <w:lang w:val="en-GB" w:bidi="ar-TN"/>
        </w:rPr>
        <w:t>2</w:t>
      </w:r>
      <w:r w:rsidRPr="00F5782B">
        <w:rPr>
          <w:lang w:val="en-GB" w:bidi="ar-TN"/>
        </w:rPr>
        <w:t xml:space="preserve">). Depreciation, amortisation, and impairment amounted to EUR </w:t>
      </w:r>
      <w:r w:rsidRPr="00F5782B">
        <w:rPr>
          <w:lang w:val="en-GB" w:bidi="ar-TN"/>
        </w:rPr>
        <w:t>162</w:t>
      </w:r>
      <w:r w:rsidRPr="00F5782B">
        <w:rPr>
          <w:lang w:val="en-GB" w:bidi="ar-TN"/>
        </w:rPr>
        <w:t xml:space="preserve"> million (</w:t>
      </w:r>
      <w:r w:rsidRPr="00F5782B">
        <w:rPr>
          <w:lang w:val="en-GB" w:bidi="ar-TN"/>
        </w:rPr>
        <w:t>174</w:t>
      </w:r>
      <w:r w:rsidRPr="00F5782B">
        <w:rPr>
          <w:lang w:val="en-GB" w:bidi="ar-TN"/>
        </w:rPr>
        <w:t>), including depreciation and impairment of right o</w:t>
      </w:r>
      <w:r w:rsidRPr="00F5782B">
        <w:rPr>
          <w:lang w:val="en-GB" w:bidi="ar-TN"/>
        </w:rPr>
        <w:t>f use assets of EUR</w:t>
      </w:r>
      <w:r>
        <w:rPr>
          <w:lang w:val="en-GB" w:bidi="ar-TN"/>
        </w:rPr>
        <w:t xml:space="preserve"> </w:t>
      </w:r>
      <w:r>
        <w:rPr>
          <w:lang w:val="en-GB" w:bidi="ar-TN"/>
        </w:rPr>
        <w:t>47</w:t>
      </w:r>
      <w:r>
        <w:rPr>
          <w:lang w:val="en-GB" w:bidi="ar-TN"/>
        </w:rPr>
        <w:t xml:space="preserve"> million (</w:t>
      </w:r>
      <w:r>
        <w:rPr>
          <w:lang w:val="en-GB" w:bidi="ar-TN"/>
        </w:rPr>
        <w:t>47</w:t>
      </w:r>
      <w:r>
        <w:rPr>
          <w:lang w:val="en-GB" w:bidi="ar-TN"/>
        </w:rPr>
        <w:t>)</w:t>
      </w:r>
      <w:r w:rsidRPr="00F5782B">
        <w:rPr>
          <w:lang w:val="en-GB" w:bidi="ar-TN"/>
        </w:rPr>
        <w:t>.</w:t>
      </w:r>
    </w:p>
    <w:tbl>
      <w:tblPr>
        <w:tblStyle w:val="TableGrid"/>
        <w:tblpPr w:leftFromText="180" w:rightFromText="180" w:vertAnchor="text" w:horzAnchor="margin" w:tblpXSpec="right" w:tblpY="1"/>
        <w:tblW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
      <w:tblGrid>
        <w:gridCol w:w="4850"/>
      </w:tblGrid>
      <w:tr w14:paraId="68C49688" w14:textId="77777777" w:rsidTr="00736162">
        <w:tblPrEx>
          <w:tblW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Ex>
        <w:trPr>
          <w:trHeight w:val="1943"/>
        </w:trPr>
        <w:tc>
          <w:tcPr>
            <w:tcW w:w="4850" w:type="dxa"/>
            <w:tcMar>
              <w:top w:w="0" w:type="dxa"/>
              <w:left w:w="0" w:type="dxa"/>
              <w:bottom w:w="0" w:type="dxa"/>
              <w:right w:w="0" w:type="dxa"/>
            </w:tcMar>
          </w:tcPr>
          <w:p w:rsidR="00EF0CEF" w:rsidRPr="00F910BC" w:rsidP="00EF0CEF" w14:paraId="4D3119CB" w14:textId="77777777">
            <w:pPr>
              <w:pStyle w:val="Subtitle"/>
              <w:rPr>
                <w:color w:val="0F172B"/>
                <w:sz w:val="16"/>
                <w:lang w:bidi="ar-TN"/>
              </w:rPr>
            </w:pPr>
            <w:r w:rsidRPr="00F910BC">
              <w:rPr>
                <w:color w:val="0F172B"/>
                <w:sz w:val="16"/>
                <w:lang w:bidi="ar-TN"/>
              </w:rPr>
              <w:t>Gross capital expenditure</w:t>
            </w:r>
          </w:p>
          <w:p w:rsidR="00EF0CEF" w:rsidP="00EF0CEF" w14:paraId="7A5DEB6F" w14:textId="77777777">
            <w:pPr>
              <w:pStyle w:val="Wnormal0"/>
              <w:rPr>
                <w:rStyle w:val="Hyperlink"/>
                <w:rFonts w:asciiTheme="minorHAnsi" w:hAnsiTheme="minorHAnsi" w:cstheme="minorBidi"/>
                <w:lang w:val="en-US"/>
              </w:rPr>
            </w:pPr>
            <w:r>
              <w:drawing>
                <wp:inline>
                  <wp:extent cx="3025687" cy="1980000"/>
                  <wp:docPr id="6" name="Chart_Capital expenditure_E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0304AF" w:rsidRPr="00F910BC" w:rsidP="00EF0CEF" w14:paraId="6FB75F01" w14:textId="6B9626DD">
            <w:pPr>
              <w:pStyle w:val="Wnormal0"/>
              <w:rPr>
                <w:color w:val="FF7321"/>
                <w:lang w:val="en-GB" w:bidi="ar-TN"/>
              </w:rPr>
            </w:pPr>
          </w:p>
        </w:tc>
      </w:tr>
    </w:tbl>
    <w:p w:rsidR="00771019" w:rsidRPr="008F4B72" w:rsidP="006648FA" w14:paraId="7190E559" w14:textId="7002C775">
      <w:pPr>
        <w:pStyle w:val="WNormal"/>
        <w:rPr>
          <w:spacing w:val="2"/>
          <w:lang w:val="en-GB" w:bidi="ar-TN"/>
        </w:rPr>
      </w:pPr>
      <w:r w:rsidRPr="00F5782B">
        <w:rPr>
          <w:lang w:val="en-GB" w:bidi="ar-TN"/>
        </w:rPr>
        <w:t xml:space="preserve">In </w:t>
      </w:r>
      <w:r w:rsidRPr="00F5782B">
        <w:rPr>
          <w:lang w:val="en-GB" w:bidi="ar-TN"/>
        </w:rPr>
        <w:t>202</w:t>
      </w:r>
      <w:r>
        <w:rPr>
          <w:lang w:val="en-GB" w:bidi="ar-TN"/>
        </w:rPr>
        <w:t>2</w:t>
      </w:r>
      <w:r w:rsidRPr="00F5782B">
        <w:rPr>
          <w:lang w:val="en-GB" w:bidi="ar-TN"/>
        </w:rPr>
        <w:t xml:space="preserve">, capital expenditure related to intangible assets and property, plant, and equipment is expected to be </w:t>
      </w:r>
      <w:r>
        <w:rPr>
          <w:lang w:val="en-GB"/>
        </w:rPr>
        <w:t xml:space="preserve">at around the same level as </w:t>
      </w:r>
      <w:r w:rsidRPr="00F5782B">
        <w:rPr>
          <w:lang w:val="en-GB" w:bidi="ar-TN"/>
        </w:rPr>
        <w:t>depreciation, amortisation, and impairment.</w:t>
      </w:r>
    </w:p>
    <w:p w:rsidR="0095400D" w:rsidRPr="004D5C81" w:rsidP="00CC626C" w14:paraId="41F6CBFE" w14:textId="77777777">
      <w:pPr>
        <w:pStyle w:val="WHeading3"/>
        <w:spacing w:before="0" w:after="0"/>
        <w:rPr>
          <w:b/>
          <w:bCs/>
          <w:sz w:val="17"/>
          <w:szCs w:val="17"/>
        </w:rPr>
      </w:pPr>
      <w:bookmarkStart w:id="11" w:name="RG_MARKER_7477"/>
      <w:r w:rsidRPr="004D5C81">
        <w:rPr>
          <w:b/>
          <w:bCs/>
          <w:sz w:val="17"/>
          <w:szCs w:val="17"/>
        </w:rPr>
        <w:t>Innovations, research and development</w:t>
      </w:r>
      <w:bookmarkEnd w:id="11"/>
    </w:p>
    <w:p w:rsidR="005602FE" w:rsidRPr="00A02656" w:rsidP="005602FE" w14:paraId="33FCAE5C" w14:textId="77777777">
      <w:pPr>
        <w:pStyle w:val="Wnormal0"/>
        <w:rPr>
          <w:color w:val="111111"/>
          <w:sz w:val="16"/>
          <w:szCs w:val="16"/>
        </w:rPr>
      </w:pPr>
      <w:r w:rsidRPr="00A02656">
        <w:rPr>
          <w:color w:val="111111"/>
          <w:sz w:val="16"/>
          <w:szCs w:val="16"/>
        </w:rPr>
        <w:t>Wärtsilä is committed to helping minimise the environmental footprint of the maritime and energy industries. Investments in R&amp;D are central to securing Wärtsilä’s future positioning, and will continue despite the prevailing market uncertainty. Developing t</w:t>
      </w:r>
      <w:r w:rsidRPr="00A02656">
        <w:rPr>
          <w:color w:val="111111"/>
          <w:sz w:val="16"/>
          <w:szCs w:val="16"/>
        </w:rPr>
        <w:t>he use of alternative, commercially viable clean fuels for the future is a key focus area of research and development, as is improving the connectivity, efficiency, sustainability, and safety of customer operations through the increased use of digital solu</w:t>
      </w:r>
      <w:r w:rsidRPr="00A02656">
        <w:rPr>
          <w:color w:val="111111"/>
          <w:sz w:val="16"/>
          <w:szCs w:val="16"/>
        </w:rPr>
        <w:t xml:space="preserve">tions. With its lifecycle solution offering, Wärtsilä goes beyond the mere maintenance and operation of installations by delivering guaranteed performance based on mutually agreed target levels. </w:t>
      </w:r>
      <w:r w:rsidRPr="00A02656">
        <w:rPr>
          <w:color w:val="111111"/>
          <w:sz w:val="16"/>
          <w:szCs w:val="16"/>
        </w:rPr>
        <w:t>Research and development expenditure totalled EUR 175 million</w:t>
      </w:r>
      <w:r w:rsidRPr="00A02656">
        <w:rPr>
          <w:color w:val="111111"/>
          <w:sz w:val="16"/>
          <w:szCs w:val="16"/>
        </w:rPr>
        <w:t xml:space="preserve"> (153) in 2021, which represents 3.7% of net sales (3.3).</w:t>
      </w:r>
    </w:p>
    <w:p w:rsidR="005602FE" w:rsidRPr="00A02656" w:rsidP="005602FE" w14:paraId="7FB9C627" w14:textId="77777777">
      <w:pPr>
        <w:pStyle w:val="Wnormal0"/>
        <w:rPr>
          <w:color w:val="111111"/>
          <w:sz w:val="16"/>
          <w:szCs w:val="16"/>
        </w:rPr>
      </w:pPr>
      <w:r w:rsidRPr="00A02656">
        <w:rPr>
          <w:color w:val="111111"/>
          <w:sz w:val="16"/>
          <w:szCs w:val="16"/>
        </w:rPr>
        <w:t>In March, Wärtsilä announced that it has conducted extensive research and development work in exploring ways by which carbon capture and storage (CCS) can be developed and scaled in the maritime ind</w:t>
      </w:r>
      <w:r w:rsidRPr="00A02656">
        <w:rPr>
          <w:color w:val="111111"/>
          <w:sz w:val="16"/>
          <w:szCs w:val="16"/>
        </w:rPr>
        <w:t xml:space="preserve">ustry. To further accelerate the development, Wärtsilä is in the process of carrying out commissioning of a 1 MW pilot plant installation at its test facility in Moss, Norway. This pilot plant will allow Wärtsilä to test its CCS technologies in a range of </w:t>
      </w:r>
      <w:r w:rsidRPr="00A02656">
        <w:rPr>
          <w:color w:val="111111"/>
          <w:sz w:val="16"/>
          <w:szCs w:val="16"/>
        </w:rPr>
        <w:t>scenarios and conditions. With this announcement, Wärtsilä highlights the potential for exhaust gas abatement systems to directly tackle maritime carbon dioxide (CO2) emissions in the near future as the technology advances. This will enable manufacturers t</w:t>
      </w:r>
      <w:r w:rsidRPr="00A02656">
        <w:rPr>
          <w:color w:val="111111"/>
          <w:sz w:val="16"/>
          <w:szCs w:val="16"/>
        </w:rPr>
        <w:t>o design and upgrade scrubbers to capture carbon at the point of exhaust. Wärtsilä’s continued research and development into carbon capture at the point of exhaust was further reinforced in October, as Wärtsilä and Solvang ASA, a Norwegian shipping company</w:t>
      </w:r>
      <w:r w:rsidRPr="00A02656">
        <w:rPr>
          <w:color w:val="111111"/>
          <w:sz w:val="16"/>
          <w:szCs w:val="16"/>
        </w:rPr>
        <w:t>, agreed on a full-scale pilot retrofit installation of a CCS system for one of Solvang’s ethylene carriers, the 21,000-cbm Clipper Eos.</w:t>
      </w:r>
    </w:p>
    <w:p w:rsidR="005602FE" w:rsidRPr="00A02656" w:rsidP="005602FE" w14:paraId="14F3B1FE" w14:textId="77777777">
      <w:pPr>
        <w:pStyle w:val="Wnormal0"/>
        <w:rPr>
          <w:color w:val="111111"/>
          <w:sz w:val="16"/>
          <w:szCs w:val="16"/>
        </w:rPr>
      </w:pPr>
      <w:r w:rsidRPr="00A02656">
        <w:rPr>
          <w:color w:val="111111"/>
          <w:sz w:val="16"/>
          <w:szCs w:val="16"/>
        </w:rPr>
        <w:t>In March, Wärtsilä launched grid balancing technology as part of a portfolio of products designed to cost effectively a</w:t>
      </w:r>
      <w:r w:rsidRPr="00A02656">
        <w:rPr>
          <w:color w:val="111111"/>
          <w:sz w:val="16"/>
          <w:szCs w:val="16"/>
        </w:rPr>
        <w:t>ccelerate the energy transition. The portfolio consists of power plants, as well as energy storage and energy management systems. The first power plant solution in the portfolio is powered by the upgraded Wärtsilä 34SG Balancer engine, optimised for renewa</w:t>
      </w:r>
      <w:r w:rsidRPr="00A02656">
        <w:rPr>
          <w:color w:val="111111"/>
          <w:sz w:val="16"/>
          <w:szCs w:val="16"/>
        </w:rPr>
        <w:t>ble baseload markets. The engine can ramp up to full load in two minutes, and can currently run on natural gas, biogas, synthetic methane, or hydrogen blends.</w:t>
      </w:r>
    </w:p>
    <w:p w:rsidR="005602FE" w:rsidRPr="00A02656" w:rsidP="005602FE" w14:paraId="64001F6F" w14:textId="77777777">
      <w:pPr>
        <w:pStyle w:val="Wnormal0"/>
        <w:rPr>
          <w:color w:val="111111"/>
          <w:sz w:val="16"/>
          <w:szCs w:val="16"/>
        </w:rPr>
      </w:pPr>
      <w:r w:rsidRPr="00A02656">
        <w:rPr>
          <w:color w:val="111111"/>
          <w:sz w:val="16"/>
          <w:szCs w:val="16"/>
        </w:rPr>
        <w:t>In June, Wärtsilä and the classification society RINA announced a novel ship propulsion arrangeme</w:t>
      </w:r>
      <w:r w:rsidRPr="00A02656">
        <w:rPr>
          <w:color w:val="111111"/>
          <w:sz w:val="16"/>
          <w:szCs w:val="16"/>
        </w:rPr>
        <w:t>nt that offers full redundancy, less machinery, lower capital expenditure, reduced operational complexity, and optimised fuel consumption to lower costs and achieve emissions compliance. The conventional approach in ship design has been to use 2-stroke eng</w:t>
      </w:r>
      <w:r w:rsidRPr="00A02656">
        <w:rPr>
          <w:color w:val="111111"/>
          <w:sz w:val="16"/>
          <w:szCs w:val="16"/>
        </w:rPr>
        <w:t>ines for propulsion and 4-stroke engines for electric power generation. The Wärtsilä / RINA arrangement, however, requires just two 4-stroke dual-fuel (DF) engines, with options for electric power back-up from batteries or a small DF generator when the shi</w:t>
      </w:r>
      <w:r w:rsidRPr="00A02656">
        <w:rPr>
          <w:color w:val="111111"/>
          <w:sz w:val="16"/>
          <w:szCs w:val="16"/>
        </w:rPr>
        <w:t>p is idle. The design, featuring Wärtsilä 31DF engines operating with LNG fuel, can achieve a reduction of up to 50% from the Energy Efficiency Design Index (EEDI) reference level value, and immediate compliance with the IMO’s 2030 targets.</w:t>
      </w:r>
    </w:p>
    <w:p w:rsidR="005602FE" w:rsidRPr="00A02656" w:rsidP="005602FE" w14:paraId="73C2CE12" w14:textId="77777777">
      <w:pPr>
        <w:pStyle w:val="Wnormal0"/>
        <w:rPr>
          <w:color w:val="111111"/>
          <w:sz w:val="16"/>
          <w:szCs w:val="16"/>
        </w:rPr>
      </w:pPr>
      <w:r w:rsidRPr="00A02656">
        <w:rPr>
          <w:color w:val="111111"/>
          <w:sz w:val="16"/>
          <w:szCs w:val="16"/>
        </w:rPr>
        <w:t>In June, Wärtsi</w:t>
      </w:r>
      <w:r w:rsidRPr="00A02656">
        <w:rPr>
          <w:color w:val="111111"/>
          <w:sz w:val="16"/>
          <w:szCs w:val="16"/>
        </w:rPr>
        <w:t>lä announced that it would showcase its Power-to-X competence at the World Expo in Dubai in cooperation with Soletair Power and Q Power. The demonstration unit creates synthetic fuel from CO2 extracted from the indoor air. Power-to-X technology can be seen</w:t>
      </w:r>
      <w:r w:rsidRPr="00A02656">
        <w:rPr>
          <w:color w:val="111111"/>
          <w:sz w:val="16"/>
          <w:szCs w:val="16"/>
        </w:rPr>
        <w:t xml:space="preserve"> as an important stepping stone along the path towards carbon-neutral fuels and the decarbonisation of various industries.</w:t>
      </w:r>
    </w:p>
    <w:p w:rsidR="005602FE" w:rsidRPr="00A02656" w:rsidP="005602FE" w14:paraId="13688632" w14:textId="77777777">
      <w:pPr>
        <w:pStyle w:val="Wnormal0"/>
        <w:rPr>
          <w:color w:val="111111"/>
          <w:sz w:val="16"/>
          <w:szCs w:val="16"/>
        </w:rPr>
      </w:pPr>
      <w:r w:rsidRPr="00A02656">
        <w:rPr>
          <w:color w:val="111111"/>
          <w:sz w:val="16"/>
          <w:szCs w:val="16"/>
        </w:rPr>
        <w:t>In June, Wärtsilä and Schneider Electric announced that they have together developed a unique, end-to-end power system reference desi</w:t>
      </w:r>
      <w:r w:rsidRPr="00A02656">
        <w:rPr>
          <w:color w:val="111111"/>
          <w:sz w:val="16"/>
          <w:szCs w:val="16"/>
        </w:rPr>
        <w:t>gn. It is aimed specifically at lithium mine operations where there is no access to a grid supply of electricity. The solution contributes to sustainable lithium production by optimising the efficient delivery and use of energy, as well as by leveraging mi</w:t>
      </w:r>
      <w:r w:rsidRPr="00A02656">
        <w:rPr>
          <w:color w:val="111111"/>
          <w:sz w:val="16"/>
          <w:szCs w:val="16"/>
        </w:rPr>
        <w:t>crogrids and enabling the use of renewable energy sources.</w:t>
      </w:r>
    </w:p>
    <w:p w:rsidR="005602FE" w:rsidRPr="00A02656" w:rsidP="005602FE" w14:paraId="2BF0F72B" w14:textId="77777777">
      <w:pPr>
        <w:pStyle w:val="Wnormal0"/>
        <w:rPr>
          <w:color w:val="111111"/>
          <w:sz w:val="16"/>
          <w:szCs w:val="16"/>
        </w:rPr>
      </w:pPr>
      <w:r w:rsidRPr="00A02656">
        <w:rPr>
          <w:color w:val="111111"/>
          <w:sz w:val="16"/>
          <w:szCs w:val="16"/>
        </w:rPr>
        <w:t>In July, Wärtsilä launched a major test programme towards carbon-free solutions with hydrogen and ammonia. The company is pioneering the adoption of hydrogen and ammonia as viable engine fuels thro</w:t>
      </w:r>
      <w:r w:rsidRPr="00A02656">
        <w:rPr>
          <w:color w:val="111111"/>
          <w:sz w:val="16"/>
          <w:szCs w:val="16"/>
        </w:rPr>
        <w:t>ugh advanced testing in Wärtsilä’s fuel-flexible combustion engines. Hydrogen and ammonia contain no carbon, meaning the combustion releases no CO2 emissions. The full-scale engine test results are very encouraging, with one test engine performing very wel</w:t>
      </w:r>
      <w:r w:rsidRPr="00A02656">
        <w:rPr>
          <w:color w:val="111111"/>
          <w:sz w:val="16"/>
          <w:szCs w:val="16"/>
        </w:rPr>
        <w:t>l when running on a fuel with 70% ammonia content at a typical marine load range. Tests were also completed successfully on another engine operating on pure hydrogen. For the energy market, Wärtsilä expects to have an engine and plant concept for pure hydr</w:t>
      </w:r>
      <w:r w:rsidRPr="00A02656">
        <w:rPr>
          <w:color w:val="111111"/>
          <w:sz w:val="16"/>
          <w:szCs w:val="16"/>
        </w:rPr>
        <w:t xml:space="preserve">ogen operation ready by 2025. For the marine market, Wärtsilä continued to run tests with an engine running on an ammonia blend, and anticipates having an ammonia engine concept ready in 2023. Wärtsilä is also developing ammonia storage and supply systems </w:t>
      </w:r>
      <w:r w:rsidRPr="00A02656">
        <w:rPr>
          <w:color w:val="111111"/>
          <w:sz w:val="16"/>
          <w:szCs w:val="16"/>
        </w:rPr>
        <w:t>as part of the EU’s ShipFC project. In addition, Wärtsilä will begin testing ammonia in a marine 4-stroke combustion engine together with Knutsen OAS, Repsol Norway and Equinor at the Sustainable Energy Catapult Centre in Stord, Norway, as part of the Demo</w:t>
      </w:r>
      <w:r w:rsidRPr="00A02656">
        <w:rPr>
          <w:color w:val="111111"/>
          <w:sz w:val="16"/>
          <w:szCs w:val="16"/>
        </w:rPr>
        <w:t xml:space="preserve">2000 project. </w:t>
      </w:r>
    </w:p>
    <w:p w:rsidR="005602FE" w:rsidRPr="00A02656" w:rsidP="005602FE" w14:paraId="5646FFA4" w14:textId="77777777">
      <w:pPr>
        <w:pStyle w:val="Wnormal0"/>
        <w:rPr>
          <w:color w:val="111111"/>
          <w:sz w:val="16"/>
          <w:szCs w:val="16"/>
        </w:rPr>
      </w:pPr>
      <w:r w:rsidRPr="00A02656">
        <w:rPr>
          <w:color w:val="111111"/>
          <w:sz w:val="16"/>
          <w:szCs w:val="16"/>
        </w:rPr>
        <w:t>In July, Wärtsilä Voyage’s NTPRO (Navi-Trainer Professional 5000) navigational simulator was awarded certification according to the new DNV Class D standard for cloud-based simulators – making it the first certified cloud solution that offer</w:t>
      </w:r>
      <w:r w:rsidRPr="00A02656">
        <w:rPr>
          <w:color w:val="111111"/>
          <w:sz w:val="16"/>
          <w:szCs w:val="16"/>
        </w:rPr>
        <w:t>s both interactive instructor-led and student-led training. With this, the navigational simulator now has full compliance (Class A, B, C, D) with DNV’s ST-0033 Maritime Simulator Systems standard. The maritime industry is in the process of identifying thos</w:t>
      </w:r>
      <w:r w:rsidRPr="00A02656">
        <w:rPr>
          <w:color w:val="111111"/>
          <w:sz w:val="16"/>
          <w:szCs w:val="16"/>
        </w:rPr>
        <w:t>e learning events that can effectively be conducted remotely, and those that require a physical presence or team interactions at a training facility. Wärtsilä cloud solutions, however, are certified to provide both the interactive exercise control required</w:t>
      </w:r>
      <w:r w:rsidRPr="00A02656">
        <w:rPr>
          <w:color w:val="111111"/>
          <w:sz w:val="16"/>
          <w:szCs w:val="16"/>
        </w:rPr>
        <w:t xml:space="preserve"> for mandatory training and examination, as well as self-directed detached exercise and assessment to enhance or supplement instructor controlled simulations. </w:t>
      </w:r>
    </w:p>
    <w:p w:rsidR="005602FE" w:rsidRPr="00A02656" w:rsidP="005602FE" w14:paraId="7CCA1A4E" w14:textId="77777777">
      <w:pPr>
        <w:pStyle w:val="Wnormal0"/>
        <w:rPr>
          <w:color w:val="111111"/>
          <w:sz w:val="16"/>
          <w:szCs w:val="16"/>
        </w:rPr>
      </w:pPr>
      <w:r w:rsidRPr="00A02656">
        <w:rPr>
          <w:color w:val="111111"/>
          <w:sz w:val="16"/>
          <w:szCs w:val="16"/>
        </w:rPr>
        <w:t>In August, Wärtsilä introduced an upgraded version of its successful Wärtsilä 20DF dual-fuel eng</w:t>
      </w:r>
      <w:r w:rsidRPr="00A02656">
        <w:rPr>
          <w:color w:val="111111"/>
          <w:sz w:val="16"/>
          <w:szCs w:val="16"/>
        </w:rPr>
        <w:t xml:space="preserve">ine. The new version will deliver increased power output, have a reduced environmental impact, and will feature lower fuel consumption. It will also further increase </w:t>
      </w:r>
      <w:r w:rsidRPr="00A02656">
        <w:rPr>
          <w:color w:val="111111"/>
          <w:sz w:val="16"/>
          <w:szCs w:val="16"/>
        </w:rPr>
        <w:t>the engine’s fuel flexibility by allowing a much wider gas quality span. The engine’s powe</w:t>
      </w:r>
      <w:r w:rsidRPr="00A02656">
        <w:rPr>
          <w:color w:val="111111"/>
          <w:sz w:val="16"/>
          <w:szCs w:val="16"/>
        </w:rPr>
        <w:t>r per cylinder is increased from 185 to 195 kW, while methane slip is lowered by as much as 40%, thereby drastically reducing CO2 emissions.</w:t>
      </w:r>
    </w:p>
    <w:p w:rsidR="005602FE" w:rsidRPr="00A02656" w:rsidP="005602FE" w14:paraId="70601978" w14:textId="77777777">
      <w:pPr>
        <w:pStyle w:val="Wnormal0"/>
        <w:rPr>
          <w:color w:val="111111"/>
          <w:sz w:val="16"/>
          <w:szCs w:val="16"/>
        </w:rPr>
      </w:pPr>
      <w:r w:rsidRPr="00A02656">
        <w:rPr>
          <w:color w:val="111111"/>
          <w:sz w:val="16"/>
          <w:szCs w:val="16"/>
        </w:rPr>
        <w:t>In September, the first vessel fitted with Wärtsilä battery containers, the ‘Alphenaar’, commenced operations in th</w:t>
      </w:r>
      <w:r w:rsidRPr="00A02656">
        <w:rPr>
          <w:color w:val="111111"/>
          <w:sz w:val="16"/>
          <w:szCs w:val="16"/>
        </w:rPr>
        <w:t>e Netherlands. The vessel transports beer for Heineken, the first customer of the service. Wärtsilä has developed and delivered this mobile battery container solution that will enable inland waterway vessels to operate with zero emissions. The 104 TEU inla</w:t>
      </w:r>
      <w:r w:rsidRPr="00A02656">
        <w:rPr>
          <w:color w:val="111111"/>
          <w:sz w:val="16"/>
          <w:szCs w:val="16"/>
        </w:rPr>
        <w:t xml:space="preserve">nd waterway container vessel has been modified to allow two battery container units to be mounted onboard. The system enables the vessel to operate on full electric power alone, with no carbon emissions being generated. When discharged, the containers can </w:t>
      </w:r>
      <w:r w:rsidRPr="00A02656">
        <w:rPr>
          <w:color w:val="111111"/>
          <w:sz w:val="16"/>
          <w:szCs w:val="16"/>
        </w:rPr>
        <w:t>be exchanged and charged onshore using energy from renewable sources.</w:t>
      </w:r>
    </w:p>
    <w:p w:rsidR="005602FE" w:rsidRPr="00A02656" w:rsidP="005602FE" w14:paraId="31BE099B" w14:textId="77777777">
      <w:pPr>
        <w:pStyle w:val="Wnormal0"/>
        <w:rPr>
          <w:color w:val="111111"/>
          <w:sz w:val="16"/>
          <w:szCs w:val="16"/>
        </w:rPr>
      </w:pPr>
      <w:r w:rsidRPr="00A02656">
        <w:rPr>
          <w:color w:val="111111"/>
          <w:sz w:val="16"/>
          <w:szCs w:val="16"/>
        </w:rPr>
        <w:t>In November, Wärtsilä announced that it will commercially launch its 2-stroke future fuels conversion platform during the first quarter of 2022. This innovative and patented engine combu</w:t>
      </w:r>
      <w:r w:rsidRPr="00A02656">
        <w:rPr>
          <w:color w:val="111111"/>
          <w:sz w:val="16"/>
          <w:szCs w:val="16"/>
        </w:rPr>
        <w:t>stion technology platform will enable the fast and cost-effective conversion of 2-stroke main engines to operate on clean-burning future fuels. This is seen as a major step in the maritime industry’s efforts to achieve decarbonised shipping operations, whi</w:t>
      </w:r>
      <w:r w:rsidRPr="00A02656">
        <w:rPr>
          <w:color w:val="111111"/>
          <w:sz w:val="16"/>
          <w:szCs w:val="16"/>
        </w:rPr>
        <w:t>le the easy retrofitting will avoid owners having to face long off-hire charter time. The retrofit conversion will initially enable operation with currently available LNG fuel, most importantly with negligible methane slip from the engine. The modular desi</w:t>
      </w:r>
      <w:r w:rsidRPr="00A02656">
        <w:rPr>
          <w:color w:val="111111"/>
          <w:sz w:val="16"/>
          <w:szCs w:val="16"/>
        </w:rPr>
        <w:t>gn of this concept provides a platform that will be further developed to allow for the adoption of alternative green fuels or fuel blends when they become commercially available. The development programme has recently been concluded with successful initial</w:t>
      </w:r>
      <w:r w:rsidRPr="00A02656">
        <w:rPr>
          <w:color w:val="111111"/>
          <w:sz w:val="16"/>
          <w:szCs w:val="16"/>
        </w:rPr>
        <w:t xml:space="preserve"> engine tests in the Wärtsilä 2-stroke engine laboratory in Trieste.</w:t>
      </w:r>
    </w:p>
    <w:p w:rsidR="00C945D0" w:rsidRPr="009D420C" w:rsidP="009E57EC" w14:paraId="62834045" w14:textId="77777777">
      <w:pPr>
        <w:pStyle w:val="Wnormal0"/>
        <w:rPr>
          <w:sz w:val="16"/>
          <w:szCs w:val="16"/>
        </w:rPr>
      </w:pPr>
      <w:r w:rsidRPr="00A02656">
        <w:rPr>
          <w:color w:val="111111"/>
          <w:sz w:val="16"/>
          <w:szCs w:val="16"/>
        </w:rPr>
        <w:t>In November, Wärtsilä launched its new IQ Series exhaust gas treatment system. The IQ Series is the latest advancement in maritime exhaust gas treatment technologies, featuring several im</w:t>
      </w:r>
      <w:r w:rsidRPr="00A02656">
        <w:rPr>
          <w:color w:val="111111"/>
          <w:sz w:val="16"/>
          <w:szCs w:val="16"/>
        </w:rPr>
        <w:t>provements that make the technology especially well-suited to container vessels, where it meets the demand for scrubbers as a compliance option. The IQ Series scrubber uses an innovative design that allows the same exhaust gas cleaning results to be achiev</w:t>
      </w:r>
      <w:r w:rsidRPr="00A02656">
        <w:rPr>
          <w:color w:val="111111"/>
          <w:sz w:val="16"/>
          <w:szCs w:val="16"/>
        </w:rPr>
        <w:t>ed with a smaller footprint. The scrubber takes up 25% less space, is 30% lighter, and has 35% less volume, which minimises the impact on a vessel’s cargo-carrying capacity, and therefore its profitability.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
      <w:tblGrid>
        <w:gridCol w:w="4771"/>
      </w:tblGrid>
      <w:tr w14:paraId="01F4290E" w14:textId="77777777" w:rsidTr="00051B54">
        <w:tblPrEx>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Ex>
        <w:trPr>
          <w:trHeight w:val="3108"/>
        </w:trPr>
        <w:tc>
          <w:tcPr>
            <w:tcW w:w="4771" w:type="dxa"/>
            <w:tcMar>
              <w:top w:w="0" w:type="dxa"/>
              <w:left w:w="0" w:type="dxa"/>
              <w:bottom w:w="0" w:type="dxa"/>
              <w:right w:w="0" w:type="dxa"/>
            </w:tcMar>
            <w:hideMark/>
          </w:tcPr>
          <w:p w:rsidR="001165D6" w:rsidRPr="001C2F9F" w:rsidP="004E14A3" w14:paraId="7334D139" w14:textId="77777777">
            <w:pPr>
              <w:pStyle w:val="Subtitle"/>
              <w:rPr>
                <w:color w:val="0F162B"/>
                <w:spacing w:val="0"/>
                <w:sz w:val="16"/>
                <w:szCs w:val="16"/>
              </w:rPr>
            </w:pPr>
            <w:r w:rsidRPr="001C2F9F">
              <w:rPr>
                <w:color w:val="0F162B"/>
                <w:sz w:val="16"/>
                <w:szCs w:val="16"/>
              </w:rPr>
              <w:t>Research</w:t>
            </w:r>
            <w:r w:rsidRPr="001C2F9F">
              <w:rPr>
                <w:color w:val="0F162B"/>
                <w:sz w:val="16"/>
                <w:szCs w:val="16"/>
              </w:rPr>
              <w:t xml:space="preserve"> and development expenditure </w:t>
            </w:r>
          </w:p>
          <w:p w:rsidR="001165D6" w14:paraId="4C4B5B23" w14:textId="435E6488">
            <w:pPr>
              <w:pStyle w:val="Wnormal0"/>
              <w:spacing w:after="0" w:line="240" w:lineRule="auto"/>
              <w:rPr>
                <w:color w:val="FF7321"/>
                <w:lang w:val="en-GB"/>
              </w:rPr>
            </w:pPr>
            <w:r>
              <w:drawing>
                <wp:inline>
                  <wp:extent cx="3025689" cy="1620000"/>
                  <wp:docPr id="7" name="Chart_Research and develop_E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326EFD" w:rsidRPr="00021514" w:rsidP="00B3056E" w14:paraId="0ED7C1AD" w14:textId="77777777">
      <w:pPr>
        <w:pStyle w:val="Wnormal0"/>
        <w:spacing w:after="0" w:line="20" w:lineRule="exact"/>
        <w:rPr>
          <w:lang w:val="en-GB"/>
        </w:rPr>
      </w:pPr>
      <w:bookmarkStart w:id="12" w:name="RG_MARKER_7305"/>
      <w:bookmarkEnd w:id="12"/>
      <w:r>
        <w:t xml:space="preserve"> </w:t>
      </w:r>
    </w:p>
    <w:p w:rsidR="002A1B16" w:rsidRPr="000E7B53" w:rsidP="00431801" w14:paraId="379EDE10" w14:textId="77777777">
      <w:pPr>
        <w:pStyle w:val="WHeading3"/>
        <w:spacing w:before="0" w:after="20" w:line="276" w:lineRule="auto"/>
        <w:rPr>
          <w:b/>
          <w:bCs/>
          <w:sz w:val="17"/>
          <w:szCs w:val="17"/>
        </w:rPr>
      </w:pPr>
      <w:bookmarkStart w:id="13" w:name="RG_MARKER_7483"/>
      <w:r w:rsidRPr="000E7B53">
        <w:rPr>
          <w:b/>
          <w:bCs/>
          <w:sz w:val="17"/>
          <w:szCs w:val="17"/>
        </w:rPr>
        <w:t>Strategic projects</w:t>
      </w:r>
      <w:bookmarkEnd w:id="13"/>
    </w:p>
    <w:p w:rsidR="003E10A4" w:rsidRPr="00987D45" w:rsidP="003E10A4" w14:paraId="64B9CEDF" w14:textId="77777777">
      <w:pPr>
        <w:pStyle w:val="Wnormal0"/>
        <w:rPr>
          <w:color w:val="111111"/>
          <w:sz w:val="16"/>
          <w:szCs w:val="20"/>
        </w:rPr>
      </w:pPr>
      <w:r w:rsidRPr="00987D45">
        <w:rPr>
          <w:color w:val="111111"/>
          <w:sz w:val="16"/>
          <w:szCs w:val="20"/>
        </w:rPr>
        <w:t>In January, Wärtsilä signed a letter of intent with the energy companies Vaasan Sähkö and EPV Energia</w:t>
      </w:r>
      <w:r w:rsidRPr="00987D45">
        <w:rPr>
          <w:color w:val="111111"/>
          <w:sz w:val="16"/>
          <w:szCs w:val="20"/>
        </w:rPr>
        <w:t xml:space="preserve"> and the City of Vaasa to cooperate in a project aiming at utilising emissions-free hydrogen in power production, industry, and traffic applications. The goal is to jointly build a Power-to-X-to-Power system in Vaasa, Finland and to pilot a hydrogen-based </w:t>
      </w:r>
      <w:r w:rsidRPr="00987D45">
        <w:rPr>
          <w:color w:val="111111"/>
          <w:sz w:val="16"/>
          <w:szCs w:val="20"/>
        </w:rPr>
        <w:t xml:space="preserve">energy generation solution suitable for export markets. </w:t>
      </w:r>
    </w:p>
    <w:p w:rsidR="003E10A4" w:rsidRPr="00987D45" w:rsidP="003E10A4" w14:paraId="474230A8" w14:textId="77777777">
      <w:pPr>
        <w:pStyle w:val="Wnormal0"/>
        <w:rPr>
          <w:color w:val="111111"/>
          <w:sz w:val="16"/>
          <w:szCs w:val="20"/>
        </w:rPr>
      </w:pPr>
      <w:r w:rsidRPr="00987D45">
        <w:rPr>
          <w:color w:val="111111"/>
          <w:sz w:val="16"/>
          <w:szCs w:val="20"/>
        </w:rPr>
        <w:t>In March, Wärtsilä made a further EUR 1 million investment in Soletair Power Oy, a Finnish company developing CO2 direct air capture technology. The investment enables Soletair Power to further its g</w:t>
      </w:r>
      <w:r w:rsidRPr="00987D45">
        <w:rPr>
          <w:color w:val="111111"/>
          <w:sz w:val="16"/>
          <w:szCs w:val="20"/>
        </w:rPr>
        <w:t>lobal sales efforts and to scale up the manufacturing of its CO2 capture solution for building ventilation applications. Wärtsilä’s original investment of EUR 500,000 in the company was made in 2019.</w:t>
      </w:r>
    </w:p>
    <w:p w:rsidR="003E10A4" w:rsidRPr="00987D45" w:rsidP="003E10A4" w14:paraId="5151693C" w14:textId="77777777">
      <w:pPr>
        <w:pStyle w:val="Wnormal0"/>
        <w:rPr>
          <w:color w:val="111111"/>
          <w:sz w:val="16"/>
          <w:szCs w:val="20"/>
        </w:rPr>
      </w:pPr>
      <w:r w:rsidRPr="00987D45">
        <w:rPr>
          <w:color w:val="111111"/>
          <w:sz w:val="16"/>
          <w:szCs w:val="20"/>
        </w:rPr>
        <w:t>In April, Wärtsilä partnered with Tanger Med, the larges</w:t>
      </w:r>
      <w:r w:rsidRPr="00987D45">
        <w:rPr>
          <w:color w:val="111111"/>
          <w:sz w:val="16"/>
          <w:szCs w:val="20"/>
        </w:rPr>
        <w:t>t Mediterranean and African container port, to take a new step forward in global port efficiency by co-developing a new cutting-edge Port Management Information System (PMIS). Both organisations sealed their long-term commitment to deploy modern Smart Port</w:t>
      </w:r>
      <w:r w:rsidRPr="00987D45">
        <w:rPr>
          <w:color w:val="111111"/>
          <w:sz w:val="16"/>
          <w:szCs w:val="20"/>
        </w:rPr>
        <w:t xml:space="preserve"> tools for port operations and digitalisation – including implementing Just-In-Time (JIT) solutions, machine learning and artificial intelligence, as well as other innovative solutions. The new PMIS is aimed at addressing the needs of the leading maritime </w:t>
      </w:r>
      <w:r w:rsidRPr="00987D45">
        <w:rPr>
          <w:color w:val="111111"/>
          <w:sz w:val="16"/>
          <w:szCs w:val="20"/>
        </w:rPr>
        <w:t xml:space="preserve">liners and alliances calling at Tanger Med Port Complex, to optimise their vessel calls, and to use standardised master and event data. </w:t>
      </w:r>
    </w:p>
    <w:p w:rsidR="003E10A4" w:rsidRPr="00987D45" w:rsidP="003E10A4" w14:paraId="3B3EF239" w14:textId="77777777">
      <w:pPr>
        <w:pStyle w:val="Wnormal0"/>
        <w:rPr>
          <w:color w:val="111111"/>
          <w:sz w:val="16"/>
          <w:szCs w:val="20"/>
        </w:rPr>
      </w:pPr>
      <w:r w:rsidRPr="00987D45">
        <w:rPr>
          <w:color w:val="111111"/>
          <w:sz w:val="16"/>
          <w:szCs w:val="20"/>
        </w:rPr>
        <w:t>In June, Wärtsilä and Vantaa Energy Ltd, a Finnish utility, signed a co-operation agreement for the pre-engineering and</w:t>
      </w:r>
      <w:r w:rsidRPr="00987D45">
        <w:rPr>
          <w:color w:val="111111"/>
          <w:sz w:val="16"/>
          <w:szCs w:val="20"/>
        </w:rPr>
        <w:t xml:space="preserve"> development of a Power-to-Gas plant for Vantaa Energy. The plant, planned to be commissioned in 2025, would produce carbon-neutral, synthetic methane on a commercial scale with a fuel capacity of 10 MW. Synthetic methane is produced from captured carbon d</w:t>
      </w:r>
      <w:r w:rsidRPr="00987D45">
        <w:rPr>
          <w:color w:val="111111"/>
          <w:sz w:val="16"/>
          <w:szCs w:val="20"/>
        </w:rPr>
        <w:t>ioxide and hydrogen produced with renewable energy.</w:t>
      </w:r>
    </w:p>
    <w:p w:rsidR="003E10A4" w:rsidRPr="00987D45" w:rsidP="003E10A4" w14:paraId="78DF3CDC" w14:textId="77777777">
      <w:pPr>
        <w:pStyle w:val="Wnormal0"/>
        <w:rPr>
          <w:color w:val="111111"/>
          <w:sz w:val="16"/>
          <w:szCs w:val="20"/>
        </w:rPr>
      </w:pPr>
      <w:r w:rsidRPr="00987D45">
        <w:rPr>
          <w:color w:val="111111"/>
          <w:sz w:val="16"/>
          <w:szCs w:val="20"/>
        </w:rPr>
        <w:t>In July, Wärtsilä and the Korean shipbuilding company Samsung Heavy Industries (SHI) signed a joint development programme agreement aimed at developing ammonia-fuelled vessels with 4-stroke auxiliary engi</w:t>
      </w:r>
      <w:r w:rsidRPr="00987D45">
        <w:rPr>
          <w:color w:val="111111"/>
          <w:sz w:val="16"/>
          <w:szCs w:val="20"/>
        </w:rPr>
        <w:t>nes for future newbuild projects. Wärtsilä has a leading role in developing engines for operation on future clean fuels. According to SHI, the most likely initial newbuild targets for ships utilising ammonia fuel will be container vessels and very large cr</w:t>
      </w:r>
      <w:r w:rsidRPr="00987D45">
        <w:rPr>
          <w:color w:val="111111"/>
          <w:sz w:val="16"/>
          <w:szCs w:val="20"/>
        </w:rPr>
        <w:t xml:space="preserve">ude carriers, operating with 2-stroke main engines and 4-stroke Wärtsilä auxiliary engines. </w:t>
      </w:r>
    </w:p>
    <w:p w:rsidR="003E10A4" w:rsidRPr="00987D45" w:rsidP="003E10A4" w14:paraId="272EC10E" w14:textId="77777777">
      <w:pPr>
        <w:pStyle w:val="Wnormal0"/>
        <w:rPr>
          <w:color w:val="111111"/>
          <w:sz w:val="16"/>
          <w:szCs w:val="20"/>
        </w:rPr>
      </w:pPr>
      <w:r w:rsidRPr="00987D45">
        <w:rPr>
          <w:color w:val="111111"/>
          <w:sz w:val="16"/>
          <w:szCs w:val="20"/>
        </w:rPr>
        <w:t>In September, Wärtsilä advanced its carbon capture and storage (CCS) capabilities for maritime applications as part of the LINCCS (linking carbon capture and stora</w:t>
      </w:r>
      <w:r w:rsidRPr="00987D45">
        <w:rPr>
          <w:color w:val="111111"/>
          <w:sz w:val="16"/>
          <w:szCs w:val="20"/>
        </w:rPr>
        <w:t xml:space="preserve">ge) consortium. The LINCCS project is focused on reducing costs for new carbon storage facilities by 70% and advancing the development of carbon capture technologies in a range of sectors. It was also announced that the LINCCS consortium would receive NOK </w:t>
      </w:r>
      <w:r w:rsidRPr="00987D45">
        <w:rPr>
          <w:color w:val="111111"/>
          <w:sz w:val="16"/>
          <w:szCs w:val="20"/>
        </w:rPr>
        <w:t>111 million from the Norwegian government’s Green Platform Initiative over the next three years. Carbon capture technology can be a significant enabler for the decarbonisation of the maritime industry, and one of the major workstreams of the LINCCS project</w:t>
      </w:r>
      <w:r w:rsidRPr="00987D45">
        <w:rPr>
          <w:color w:val="111111"/>
          <w:sz w:val="16"/>
          <w:szCs w:val="20"/>
        </w:rPr>
        <w:t xml:space="preserve"> is to bring to market a maritime CCS solution. Wärtsilä will lead this workstream with support from the Sustainable Energy Catapult Center and SINTEF Energy.</w:t>
      </w:r>
    </w:p>
    <w:p w:rsidR="003E10A4" w:rsidRPr="00987D45" w:rsidP="003E10A4" w14:paraId="47B0F6C0" w14:textId="77777777">
      <w:pPr>
        <w:pStyle w:val="Wnormal0"/>
        <w:rPr>
          <w:color w:val="111111"/>
          <w:sz w:val="16"/>
          <w:szCs w:val="20"/>
        </w:rPr>
      </w:pPr>
      <w:r w:rsidRPr="00987D45">
        <w:rPr>
          <w:color w:val="111111"/>
          <w:sz w:val="16"/>
          <w:szCs w:val="20"/>
        </w:rPr>
        <w:t>In October, Wärtsilä and Eidesvik Offshore ASA signed a landmark cooperation agreement aimed at c</w:t>
      </w:r>
      <w:r w:rsidRPr="00987D45">
        <w:rPr>
          <w:color w:val="111111"/>
          <w:sz w:val="16"/>
          <w:szCs w:val="20"/>
        </w:rPr>
        <w:t>onverting an offshore supply vessel (OSV) to operate with an ammonia-fuelled combustion engine, and with the required fuel supply and safety system. This project will be the first of its kind ever in the world and has a provisional completion target by the</w:t>
      </w:r>
      <w:r w:rsidRPr="00987D45">
        <w:rPr>
          <w:color w:val="111111"/>
          <w:sz w:val="16"/>
          <w:szCs w:val="20"/>
        </w:rPr>
        <w:t xml:space="preserve"> end of 2023. The OSV considered for a retrofit currently has Wärtsilä dual-fuel engines operating primarily with LNG fuel. The conversion will allow the vessel to operate with a 70% ammonia blend. The </w:t>
      </w:r>
      <w:r w:rsidRPr="00987D45">
        <w:rPr>
          <w:color w:val="111111"/>
          <w:sz w:val="16"/>
          <w:szCs w:val="20"/>
        </w:rPr>
        <w:t>ultimate goal</w:t>
      </w:r>
      <w:r w:rsidRPr="00987D45">
        <w:rPr>
          <w:color w:val="111111"/>
          <w:sz w:val="16"/>
          <w:szCs w:val="20"/>
        </w:rPr>
        <w:t xml:space="preserve"> is to achieve operation with 100% ammoni</w:t>
      </w:r>
      <w:r w:rsidRPr="00987D45">
        <w:rPr>
          <w:color w:val="111111"/>
          <w:sz w:val="16"/>
          <w:szCs w:val="20"/>
        </w:rPr>
        <w:t>a and with a minimum ignition fuel requirement.</w:t>
      </w:r>
    </w:p>
    <w:p w:rsidR="00A34DF5" w:rsidRPr="00987D45" w:rsidP="003E10A4" w14:paraId="6AF6F438" w14:textId="77777777">
      <w:pPr>
        <w:pStyle w:val="Wnormal0"/>
        <w:rPr>
          <w:color w:val="111111"/>
          <w:sz w:val="16"/>
          <w:szCs w:val="20"/>
        </w:rPr>
      </w:pPr>
      <w:r w:rsidRPr="00987D45">
        <w:rPr>
          <w:color w:val="111111"/>
          <w:sz w:val="16"/>
          <w:szCs w:val="20"/>
        </w:rPr>
        <w:t>In November, Wärtsilä Voyage signed a landmark agreement with the Maritime and Port Authority of Singapore (MPA) to further strengthen their collaboration in smart port innovation and digitalisation. The main</w:t>
      </w:r>
      <w:r w:rsidRPr="00987D45">
        <w:rPr>
          <w:color w:val="111111"/>
          <w:sz w:val="16"/>
          <w:szCs w:val="20"/>
        </w:rPr>
        <w:t xml:space="preserve"> objectives of this strategic partnership are to initiate, develop, and promote innovative solutions that accelerate digitalisation; to foster interoperability in e-navigation and ship-to-shore secure data communications to enable port-to-port optimisation</w:t>
      </w:r>
      <w:r w:rsidRPr="00987D45">
        <w:rPr>
          <w:color w:val="111111"/>
          <w:sz w:val="16"/>
          <w:szCs w:val="20"/>
        </w:rPr>
        <w:t>; and to establish reliable, cyber safe and cost-effective information exchange pathways between all ecosystem partners to increase operational efficacy.</w:t>
      </w:r>
    </w:p>
    <w:p w:rsidR="00693A60" w:rsidRPr="00262B2F" w:rsidP="005F366E" w14:paraId="5AE68E3E" w14:textId="5A2CF846">
      <w:pPr>
        <w:pStyle w:val="WHeading3"/>
      </w:pPr>
      <w:bookmarkStart w:id="14" w:name="RG_MARKER_7288"/>
      <w:r w:rsidRPr="00262B2F">
        <w:t>Personnel</w:t>
      </w:r>
      <w:bookmarkEnd w:id="14"/>
    </w:p>
    <w:p w:rsidR="000D6EC7" w:rsidRPr="00687320" w:rsidP="00E91F2C" w14:paraId="5970110D" w14:textId="5CF0027F">
      <w:pPr>
        <w:pStyle w:val="WNormal"/>
      </w:pPr>
      <w:r w:rsidRPr="00687320">
        <w:t xml:space="preserve">Wärtsilä had </w:t>
      </w:r>
      <w:r w:rsidRPr="00687320">
        <w:t>17,305</w:t>
      </w:r>
      <w:r w:rsidRPr="00687320">
        <w:t xml:space="preserve"> (</w:t>
      </w:r>
      <w:r w:rsidRPr="00687320">
        <w:t>17,792</w:t>
      </w:r>
      <w:r w:rsidRPr="00687320">
        <w:t xml:space="preserve">) employees at the end of the year. On average, the number of personnel totalled </w:t>
      </w:r>
      <w:r w:rsidRPr="00687320">
        <w:t>17,461</w:t>
      </w:r>
      <w:r w:rsidRPr="00687320">
        <w:t xml:space="preserve"> (</w:t>
      </w:r>
      <w:r w:rsidRPr="00687320">
        <w:t>18,307</w:t>
      </w:r>
      <w:r w:rsidRPr="00687320">
        <w:t xml:space="preserve">) in the year of </w:t>
      </w:r>
      <w:r w:rsidRPr="00687320">
        <w:t>2021</w:t>
      </w:r>
      <w:r w:rsidRPr="00687320">
        <w:t xml:space="preserve">. </w:t>
      </w:r>
    </w:p>
    <w:p w:rsidR="006070B9" w:rsidRPr="00687320" w:rsidP="00E91F2C" w14:paraId="74812A22" w14:textId="3B4AFD29">
      <w:pPr>
        <w:pStyle w:val="WNormal"/>
      </w:pPr>
      <w:r w:rsidRPr="00687320">
        <w:t xml:space="preserve">Of Wärtsilä’s total number of employees, </w:t>
      </w:r>
      <w:r w:rsidRPr="00687320">
        <w:t>21</w:t>
      </w:r>
      <w:r w:rsidRPr="00687320">
        <w:t>% (</w:t>
      </w:r>
      <w:r w:rsidRPr="00687320">
        <w:t>21</w:t>
      </w:r>
      <w:r w:rsidRPr="00687320">
        <w:t xml:space="preserve">) were located in Finland and </w:t>
      </w:r>
      <w:r w:rsidRPr="00687320">
        <w:t>40</w:t>
      </w:r>
      <w:r w:rsidRPr="00687320">
        <w:t>% (</w:t>
      </w:r>
      <w:r w:rsidRPr="00687320">
        <w:t>41</w:t>
      </w:r>
      <w:r w:rsidRPr="00687320">
        <w:t xml:space="preserve">) elsewhere in Europe. Personnel employed in Asia represented </w:t>
      </w:r>
      <w:r w:rsidRPr="00687320">
        <w:t>21</w:t>
      </w:r>
      <w:r w:rsidRPr="00687320">
        <w:t>% (</w:t>
      </w:r>
      <w:r w:rsidRPr="00687320">
        <w:t>22</w:t>
      </w:r>
      <w:r w:rsidRPr="00687320">
        <w:t xml:space="preserve">) of the total, personnel in the Americas </w:t>
      </w:r>
      <w:r w:rsidRPr="00687320">
        <w:t>12</w:t>
      </w:r>
      <w:r w:rsidRPr="00687320">
        <w:t>% (</w:t>
      </w:r>
      <w:r w:rsidRPr="00687320">
        <w:t>11</w:t>
      </w:r>
      <w:r w:rsidRPr="00687320">
        <w:t>), and per</w:t>
      </w:r>
      <w:r w:rsidRPr="00687320">
        <w:t xml:space="preserve">sonnel in other countries </w:t>
      </w:r>
      <w:r w:rsidRPr="00687320">
        <w:t>5</w:t>
      </w:r>
      <w:r w:rsidRPr="00687320">
        <w:t>% (</w:t>
      </w:r>
      <w:r w:rsidRPr="00687320">
        <w:t>5</w:t>
      </w:r>
      <w:r w:rsidRPr="00687320">
        <w:t>).</w:t>
      </w:r>
    </w:p>
    <w:tbl>
      <w:tblPr>
        <w:tblStyle w:val="TableGrid"/>
        <w:tblW w:w="50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
      <w:tblGrid>
        <w:gridCol w:w="5022"/>
      </w:tblGrid>
      <w:tr w14:paraId="1FAA02C7" w14:textId="77777777" w:rsidTr="007B4178">
        <w:tblPrEx>
          <w:tblW w:w="50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Ex>
        <w:trPr>
          <w:trHeight w:val="3909"/>
        </w:trPr>
        <w:tc>
          <w:tcPr>
            <w:tcW w:w="5022" w:type="dxa"/>
            <w:tcMar>
              <w:top w:w="0" w:type="dxa"/>
              <w:left w:w="0" w:type="dxa"/>
              <w:bottom w:w="0" w:type="dxa"/>
              <w:right w:w="0" w:type="dxa"/>
            </w:tcMar>
          </w:tcPr>
          <w:p w:rsidR="009A73FB" w:rsidRPr="00687320" w:rsidP="00591C3E" w14:paraId="40D37D86" w14:textId="16B45667">
            <w:pPr>
              <w:pStyle w:val="Subtitle"/>
              <w:rPr>
                <w:rStyle w:val="Strong"/>
                <w:bCs w:val="0"/>
                <w:color w:val="0F162B"/>
                <w:lang w:val="en-GB"/>
              </w:rPr>
            </w:pPr>
            <w:r w:rsidRPr="00687320">
              <w:rPr>
                <w:rStyle w:val="SubtitleChar"/>
                <w:b/>
                <w:color w:val="0F162B"/>
                <w:sz w:val="16"/>
                <w:szCs w:val="16"/>
                <w:lang w:val="en-GB"/>
              </w:rPr>
              <w:t>Personne</w:t>
            </w:r>
            <w:r w:rsidRPr="00687320">
              <w:rPr>
                <w:rStyle w:val="Strong"/>
                <w:b/>
                <w:bCs w:val="0"/>
                <w:color w:val="0F162B"/>
                <w:spacing w:val="4"/>
                <w:lang w:val="en-GB"/>
              </w:rPr>
              <w:t>l</w:t>
            </w:r>
          </w:p>
          <w:p w:rsidR="00725B55" w:rsidRPr="000D6EC7" w:rsidP="00423DED" w14:paraId="7592E6B7" w14:textId="66B65074">
            <w:pPr>
              <w:pStyle w:val="Wnormal0"/>
              <w:rPr>
                <w:color w:val="FF7321"/>
                <w:lang w:val="en-GB"/>
              </w:rPr>
            </w:pPr>
            <w:r w:rsidRPr="000D6EC7">
              <w:rPr>
                <w:lang w:val="en-GB"/>
              </w:rPr>
              <w:t xml:space="preserve"> </w:t>
            </w:r>
            <w:r>
              <w:drawing>
                <wp:inline>
                  <wp:extent cx="3025688" cy="1964126"/>
                  <wp:docPr id="8" name="Chart_Personnel_E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4B15CD" w:rsidRPr="007D1D53" w:rsidP="00F56980" w14:paraId="376ED001" w14:textId="77777777">
      <w:pPr>
        <w:pStyle w:val="WHeading3"/>
      </w:pPr>
      <w:bookmarkStart w:id="15" w:name="RG_MARKER_7289"/>
      <w:r w:rsidRPr="007D1D53">
        <w:t xml:space="preserve">Changes in management </w:t>
      </w:r>
      <w:bookmarkEnd w:id="15"/>
    </w:p>
    <w:p w:rsidR="00B01674" w:rsidRPr="007D1D53" w:rsidP="00BA251F" w14:paraId="5CFD1BFA" w14:textId="575DC0C8">
      <w:pPr>
        <w:pStyle w:val="WNormal"/>
      </w:pPr>
      <w:r w:rsidRPr="007D1D53">
        <w:t xml:space="preserve">Håkan Agnevall (b. 1966, M.Sc. (Tech), MBA) assumed the position of President and CEO for Wärtsilä Corporation on 1 February 2021. He succeeded Jaakko Eskola, who continued as a senior advisor to the Board and executive team </w:t>
      </w:r>
      <w:r w:rsidRPr="007D1D53">
        <w:t>until his retirement on 30 June 2021.</w:t>
      </w:r>
    </w:p>
    <w:p w:rsidR="003379AB" w:rsidRPr="007D1D53" w:rsidP="00BA251F" w14:paraId="25A7B635" w14:textId="7ADC5B31">
      <w:pPr>
        <w:pStyle w:val="WNormal"/>
      </w:pPr>
      <w:r w:rsidRPr="007D1D53">
        <w:t>In August, Wärtsilä appointed Teija Sarajärvi (b. 1969, MA) as Executive Vice President, Human Resources and member of the Board of Management. Ms Sarajärvi commenced in her role on 1 January 2022</w:t>
      </w:r>
      <w:r>
        <w:t>, succeeding</w:t>
      </w:r>
      <w:r w:rsidRPr="007D1D53">
        <w:t xml:space="preserve"> Ms Alid</w:t>
      </w:r>
      <w:r w:rsidRPr="007D1D53">
        <w:t xml:space="preserve"> Dettke</w:t>
      </w:r>
      <w:r>
        <w:t>.</w:t>
      </w:r>
    </w:p>
    <w:p w:rsidR="007F47FE" w:rsidRPr="00CB08EE" w:rsidP="00A123B1">
      <w:pPr>
        <w:pStyle w:val="WHeading3"/>
        <w:rPr>
          <w:lang w:val="en-GB"/>
        </w:rPr>
      </w:pPr>
      <w:bookmarkStart w:id="16" w:name="RG_MARKER_7290"/>
      <w:r w:rsidRPr="00CB08EE">
        <w:rPr>
          <w:lang w:val="en-GB"/>
        </w:rPr>
        <w:t xml:space="preserve">Non-financial report </w:t>
      </w:r>
      <w:bookmarkEnd w:id="16"/>
    </w:p>
    <w:p w:rsidR="00234A72" w:rsidRPr="00234A72" w:rsidP="00234A72">
      <w:pPr>
        <w:pStyle w:val="WNormal"/>
        <w:rPr>
          <w:lang w:val="en-GB"/>
        </w:rPr>
      </w:pPr>
      <w:r w:rsidRPr="00234A72">
        <w:rPr>
          <w:lang w:val="en-GB"/>
        </w:rPr>
        <w:t>Increasing environmental awareness, tightening regulation</w:t>
      </w:r>
      <w:r w:rsidR="00B767D3">
        <w:rPr>
          <w:lang w:val="en-GB"/>
        </w:rPr>
        <w:t>s</w:t>
      </w:r>
      <w:r w:rsidRPr="00234A72">
        <w:rPr>
          <w:lang w:val="en-GB"/>
        </w:rPr>
        <w:t>, customer preferences</w:t>
      </w:r>
      <w:r w:rsidR="00B767D3">
        <w:rPr>
          <w:lang w:val="en-GB"/>
        </w:rPr>
        <w:t>,</w:t>
      </w:r>
      <w:r w:rsidRPr="00234A72">
        <w:rPr>
          <w:lang w:val="en-GB"/>
        </w:rPr>
        <w:t xml:space="preserve"> and the need </w:t>
      </w:r>
      <w:r w:rsidRPr="00B767D3" w:rsidR="00B767D3">
        <w:rPr>
          <w:lang w:val="en-GB"/>
        </w:rPr>
        <w:t xml:space="preserve">to decarbonise operations </w:t>
      </w:r>
      <w:r w:rsidRPr="00234A72">
        <w:rPr>
          <w:lang w:val="en-GB"/>
        </w:rPr>
        <w:t>are resulting in fundamental changes in both the marine and energy industries. Wärtsilä is a global leader in innovative technologies and lifecycle solutions for the marine and energy markets. Wärtsilä emphasises innovation in sustainable technology and se</w:t>
      </w:r>
      <w:r w:rsidRPr="00234A72">
        <w:rPr>
          <w:lang w:val="en-GB"/>
        </w:rPr>
        <w:t xml:space="preserve">rvices to help </w:t>
      </w:r>
      <w:r w:rsidR="00B767D3">
        <w:rPr>
          <w:lang w:val="en-GB"/>
        </w:rPr>
        <w:t>its</w:t>
      </w:r>
      <w:r w:rsidRPr="00234A72" w:rsidR="00B767D3">
        <w:rPr>
          <w:lang w:val="en-GB"/>
        </w:rPr>
        <w:t xml:space="preserve"> </w:t>
      </w:r>
      <w:r w:rsidRPr="00234A72">
        <w:rPr>
          <w:lang w:val="en-GB"/>
        </w:rPr>
        <w:t xml:space="preserve">customers continuously improve their environmental and economic performance. Thanks to </w:t>
      </w:r>
      <w:r w:rsidRPr="00B767D3" w:rsidR="00B767D3">
        <w:rPr>
          <w:lang w:val="en-GB"/>
        </w:rPr>
        <w:t xml:space="preserve">a broad range of </w:t>
      </w:r>
      <w:r w:rsidRPr="00234A72">
        <w:rPr>
          <w:lang w:val="en-GB"/>
        </w:rPr>
        <w:t>technologies and speciali</w:t>
      </w:r>
      <w:r>
        <w:rPr>
          <w:lang w:val="en-GB"/>
        </w:rPr>
        <w:t>s</w:t>
      </w:r>
      <w:r w:rsidRPr="00234A72">
        <w:rPr>
          <w:lang w:val="en-GB"/>
        </w:rPr>
        <w:t>ed services, Wärtsilä is well positioned to shape decarboni</w:t>
      </w:r>
      <w:r>
        <w:rPr>
          <w:lang w:val="en-GB"/>
        </w:rPr>
        <w:t>s</w:t>
      </w:r>
      <w:r w:rsidRPr="00234A72">
        <w:rPr>
          <w:lang w:val="en-GB"/>
        </w:rPr>
        <w:t xml:space="preserve">ation in </w:t>
      </w:r>
      <w:r w:rsidR="005E6526">
        <w:rPr>
          <w:lang w:val="en-GB"/>
        </w:rPr>
        <w:t xml:space="preserve">the </w:t>
      </w:r>
      <w:r w:rsidRPr="00234A72">
        <w:rPr>
          <w:lang w:val="en-GB"/>
        </w:rPr>
        <w:t xml:space="preserve">marine and energy markets, </w:t>
      </w:r>
      <w:r w:rsidR="00A83120">
        <w:rPr>
          <w:lang w:val="en-GB"/>
        </w:rPr>
        <w:t xml:space="preserve">and </w:t>
      </w:r>
      <w:r w:rsidRPr="00234A72">
        <w:rPr>
          <w:lang w:val="en-GB"/>
        </w:rPr>
        <w:t xml:space="preserve">to </w:t>
      </w:r>
      <w:r w:rsidRPr="00234A72">
        <w:rPr>
          <w:lang w:val="en-GB"/>
        </w:rPr>
        <w:t>reduce exhaust emissions and the use of natural resources</w:t>
      </w:r>
      <w:r w:rsidRPr="005E6526" w:rsidR="005E6526">
        <w:rPr>
          <w:lang w:val="en-GB"/>
        </w:rPr>
        <w:t>. This positioning</w:t>
      </w:r>
      <w:r w:rsidRPr="00234A72">
        <w:rPr>
          <w:lang w:val="en-GB"/>
        </w:rPr>
        <w:t xml:space="preserve"> support</w:t>
      </w:r>
      <w:r w:rsidR="005E6526">
        <w:rPr>
          <w:lang w:val="en-GB"/>
        </w:rPr>
        <w:t>s</w:t>
      </w:r>
      <w:r w:rsidRPr="00234A72">
        <w:rPr>
          <w:lang w:val="en-GB"/>
        </w:rPr>
        <w:t xml:space="preserve"> customers in their efforts </w:t>
      </w:r>
      <w:r w:rsidR="005E6526">
        <w:rPr>
          <w:color w:val="3F3F3F"/>
          <w:lang w:val="en-GB"/>
        </w:rPr>
        <w:t xml:space="preserve">to limit their carbon footprint </w:t>
      </w:r>
      <w:r w:rsidRPr="00234A72">
        <w:rPr>
          <w:lang w:val="en-GB"/>
        </w:rPr>
        <w:t xml:space="preserve">and </w:t>
      </w:r>
      <w:r w:rsidR="005E6526">
        <w:rPr>
          <w:lang w:val="en-GB"/>
        </w:rPr>
        <w:t xml:space="preserve">achieve </w:t>
      </w:r>
      <w:r w:rsidRPr="00234A72">
        <w:rPr>
          <w:lang w:val="en-GB"/>
        </w:rPr>
        <w:t>regulatory compliance. Wärtsilä’s R&amp;D efforts continue to focus on the development of advanced envir</w:t>
      </w:r>
      <w:r w:rsidRPr="00234A72">
        <w:rPr>
          <w:lang w:val="en-GB"/>
        </w:rPr>
        <w:t xml:space="preserve">onmental technologies and solutions. </w:t>
      </w:r>
    </w:p>
    <w:p w:rsidR="009B6868" w:rsidRPr="00A714A1" w:rsidP="00234A72">
      <w:pPr>
        <w:pStyle w:val="WNormal"/>
        <w:rPr>
          <w:b/>
          <w:bCs/>
          <w:lang w:val="en-GB"/>
        </w:rPr>
      </w:pPr>
      <w:r w:rsidRPr="00234A72">
        <w:rPr>
          <w:lang w:val="en-GB"/>
        </w:rPr>
        <w:t>Wärtsilä is committed to supporting the UN Global Compact and its principles with respect to human rights, labour, the environment, and anti-corruption. Wärtsilä is also committed to supporting the UN Sustainable Devel</w:t>
      </w:r>
      <w:r w:rsidRPr="00234A72">
        <w:rPr>
          <w:lang w:val="en-GB"/>
        </w:rPr>
        <w:t>opment Goals that deal with issues to which Wärtsilä contributes in a positive way. Such goals include those related to clean energy, a low-carbon marine ecosystem, and responsible business conduct.</w:t>
      </w:r>
      <w:r w:rsidRPr="00A714A1" w:rsidR="005B51C8">
        <w:rPr>
          <w:lang w:val="en-GB"/>
        </w:rPr>
        <w:t xml:space="preserve"> </w:t>
      </w:r>
    </w:p>
    <w:p w:rsidR="007F47FE" w:rsidRPr="00A714A1" w:rsidP="009B6868">
      <w:pPr>
        <w:pStyle w:val="WHeading40"/>
        <w:rPr>
          <w:b w:val="0"/>
          <w:bCs w:val="0"/>
          <w:color w:val="111111"/>
          <w:spacing w:val="2"/>
          <w:lang w:val="en-GB"/>
        </w:rPr>
      </w:pPr>
      <w:r w:rsidRPr="00A714A1">
        <w:rPr>
          <w:lang w:val="en-GB"/>
        </w:rPr>
        <w:t xml:space="preserve">Responsible business conduct </w:t>
      </w:r>
    </w:p>
    <w:p w:rsidR="00234A72" w:rsidRPr="00234A72" w:rsidP="00234A72">
      <w:pPr>
        <w:pStyle w:val="WNormal"/>
        <w:rPr>
          <w:lang w:val="en-GB"/>
        </w:rPr>
      </w:pPr>
      <w:r w:rsidRPr="00234A72">
        <w:rPr>
          <w:lang w:val="en-GB"/>
        </w:rPr>
        <w:t>The Wärtsilä Code of Condu</w:t>
      </w:r>
      <w:r w:rsidRPr="00234A72">
        <w:rPr>
          <w:lang w:val="en-GB"/>
        </w:rPr>
        <w:t>ct defines common rules for all employees and provides guidance on Wärtsilä’s approach to responsible business practices. The Code of Conduct is complemented by group-wide policies, including the quality, environmental, health and safety policy, the corpor</w:t>
      </w:r>
      <w:r w:rsidRPr="00234A72">
        <w:rPr>
          <w:lang w:val="en-GB"/>
        </w:rPr>
        <w:t>ate policy on equal opportunities and fair employment practices, as well as policies related to anti-corruption, compliance reporting, and procurement</w:t>
      </w:r>
      <w:r>
        <w:rPr>
          <w:lang w:val="en-GB"/>
        </w:rPr>
        <w:t>.</w:t>
      </w:r>
    </w:p>
    <w:p w:rsidR="00234A72" w:rsidRPr="00234A72" w:rsidP="00234A72">
      <w:pPr>
        <w:pStyle w:val="WNormal"/>
        <w:rPr>
          <w:lang w:val="en-GB"/>
        </w:rPr>
      </w:pPr>
      <w:r w:rsidRPr="00234A72">
        <w:rPr>
          <w:lang w:val="en-GB"/>
        </w:rPr>
        <w:t>Wärtsilä takes an active approach to the application of the Code of Conduct and promotes its implementat</w:t>
      </w:r>
      <w:r w:rsidRPr="00234A72">
        <w:rPr>
          <w:lang w:val="en-GB"/>
        </w:rPr>
        <w:t>ion through effective</w:t>
      </w:r>
      <w:r w:rsidR="005E6526">
        <w:rPr>
          <w:lang w:val="en-GB"/>
        </w:rPr>
        <w:t>ly</w:t>
      </w:r>
      <w:r w:rsidRPr="00234A72">
        <w:rPr>
          <w:lang w:val="en-GB"/>
        </w:rPr>
        <w:t xml:space="preserve"> </w:t>
      </w:r>
      <w:r w:rsidRPr="00234A72" w:rsidR="005E6526">
        <w:rPr>
          <w:lang w:val="en-GB"/>
        </w:rPr>
        <w:t>communicati</w:t>
      </w:r>
      <w:r w:rsidR="005E6526">
        <w:rPr>
          <w:lang w:val="en-GB"/>
        </w:rPr>
        <w:t>ng</w:t>
      </w:r>
      <w:r w:rsidRPr="00234A72" w:rsidR="005E6526">
        <w:rPr>
          <w:lang w:val="en-GB"/>
        </w:rPr>
        <w:t xml:space="preserve"> </w:t>
      </w:r>
      <w:r w:rsidRPr="00234A72">
        <w:rPr>
          <w:lang w:val="en-GB"/>
        </w:rPr>
        <w:t xml:space="preserve">its contents to </w:t>
      </w:r>
      <w:r w:rsidR="005E6526">
        <w:rPr>
          <w:lang w:val="en-GB"/>
        </w:rPr>
        <w:t>all</w:t>
      </w:r>
      <w:r w:rsidRPr="00234A72" w:rsidR="005E6526">
        <w:rPr>
          <w:lang w:val="en-GB"/>
        </w:rPr>
        <w:t xml:space="preserve"> </w:t>
      </w:r>
      <w:r w:rsidRPr="00234A72">
        <w:rPr>
          <w:lang w:val="en-GB"/>
        </w:rPr>
        <w:t xml:space="preserve">employees. </w:t>
      </w:r>
      <w:r w:rsidR="005E6526">
        <w:rPr>
          <w:color w:val="3F3F3F"/>
          <w:lang w:val="en-GB"/>
        </w:rPr>
        <w:t xml:space="preserve">The company </w:t>
      </w:r>
      <w:r w:rsidRPr="00234A72">
        <w:rPr>
          <w:lang w:val="en-GB"/>
        </w:rPr>
        <w:t>monitors the application of the Code internally to ensure understanding and commitment throughout the organi</w:t>
      </w:r>
      <w:r w:rsidR="001945EB">
        <w:rPr>
          <w:lang w:val="en-GB"/>
        </w:rPr>
        <w:t>s</w:t>
      </w:r>
      <w:r w:rsidRPr="00234A72">
        <w:rPr>
          <w:lang w:val="en-GB"/>
        </w:rPr>
        <w:t>ation. A</w:t>
      </w:r>
      <w:r w:rsidR="005E6526">
        <w:rPr>
          <w:lang w:val="en-GB"/>
        </w:rPr>
        <w:t>s a</w:t>
      </w:r>
      <w:r w:rsidRPr="00234A72">
        <w:rPr>
          <w:lang w:val="en-GB"/>
        </w:rPr>
        <w:t xml:space="preserve">t the end of 2021, 16,712 employees, covering 94% of </w:t>
      </w:r>
      <w:r w:rsidRPr="00234A72">
        <w:rPr>
          <w:lang w:val="en-GB"/>
        </w:rPr>
        <w:t>the total number of employees, had participated in the Code of Conduct training program</w:t>
      </w:r>
      <w:r w:rsidR="005E6526">
        <w:rPr>
          <w:lang w:val="en-GB"/>
        </w:rPr>
        <w:t>me</w:t>
      </w:r>
      <w:r w:rsidRPr="00234A72">
        <w:rPr>
          <w:lang w:val="en-GB"/>
        </w:rPr>
        <w:t xml:space="preserve">. </w:t>
      </w:r>
    </w:p>
    <w:p w:rsidR="007F47FE" w:rsidRPr="00A714A1" w:rsidP="00234A72">
      <w:pPr>
        <w:pStyle w:val="WNormal"/>
        <w:rPr>
          <w:lang w:val="en-GB"/>
        </w:rPr>
      </w:pPr>
      <w:r w:rsidRPr="00234A72">
        <w:rPr>
          <w:lang w:val="en-GB"/>
        </w:rPr>
        <w:t xml:space="preserve">Suppliers and business partners are an integral part of the total value chain of </w:t>
      </w:r>
      <w:r w:rsidR="005E6526">
        <w:rPr>
          <w:color w:val="3F3F3F"/>
          <w:lang w:val="en-GB"/>
        </w:rPr>
        <w:t xml:space="preserve">Wärtsilä’s </w:t>
      </w:r>
      <w:r w:rsidRPr="00234A72">
        <w:rPr>
          <w:lang w:val="en-GB"/>
        </w:rPr>
        <w:t xml:space="preserve">products and services. They are expected to conduct their businesses in </w:t>
      </w:r>
      <w:r w:rsidRPr="00234A72">
        <w:rPr>
          <w:lang w:val="en-GB"/>
        </w:rPr>
        <w:t xml:space="preserve">compliance with the same high legal and ethical standards and business practices as Wärtsilä. Information on Wärtsilä’s requirements is included in </w:t>
      </w:r>
      <w:r w:rsidR="005E6526">
        <w:rPr>
          <w:lang w:val="en-GB"/>
        </w:rPr>
        <w:t xml:space="preserve">the </w:t>
      </w:r>
      <w:r w:rsidRPr="00234A72">
        <w:rPr>
          <w:lang w:val="en-GB"/>
        </w:rPr>
        <w:t>supplier agreement templates.</w:t>
      </w:r>
    </w:p>
    <w:p w:rsidR="00D607C5" w:rsidRPr="00A714A1" w:rsidP="00DC6DCA">
      <w:pPr>
        <w:pStyle w:val="WHeading40"/>
        <w:rPr>
          <w:lang w:val="en-GB"/>
        </w:rPr>
      </w:pPr>
      <w:r w:rsidRPr="00A714A1">
        <w:rPr>
          <w:lang w:val="en-GB"/>
        </w:rPr>
        <w:t xml:space="preserve">Environmental performance </w:t>
      </w:r>
    </w:p>
    <w:p w:rsidR="00234A72" w:rsidRPr="00234A72" w:rsidP="00234A72">
      <w:pPr>
        <w:pStyle w:val="WNormal"/>
        <w:rPr>
          <w:lang w:val="en-GB"/>
        </w:rPr>
      </w:pPr>
      <w:r w:rsidRPr="00234A72">
        <w:rPr>
          <w:lang w:val="en-GB"/>
        </w:rPr>
        <w:t>Wärtsilä’s main contribution to improved enviro</w:t>
      </w:r>
      <w:r w:rsidRPr="00234A72">
        <w:rPr>
          <w:lang w:val="en-GB"/>
        </w:rPr>
        <w:t>nmental performance lies in providing its customers with reliable and safe technologies and services</w:t>
      </w:r>
      <w:r w:rsidR="005E6526">
        <w:rPr>
          <w:lang w:val="en-GB"/>
        </w:rPr>
        <w:t>. I</w:t>
      </w:r>
      <w:r w:rsidRPr="00234A72">
        <w:rPr>
          <w:lang w:val="en-GB"/>
        </w:rPr>
        <w:t xml:space="preserve">n addition to enabling environmental compliance, </w:t>
      </w:r>
      <w:r w:rsidR="005E6526">
        <w:rPr>
          <w:color w:val="3F3F3F"/>
          <w:lang w:val="en-GB"/>
        </w:rPr>
        <w:t xml:space="preserve">this also </w:t>
      </w:r>
      <w:r w:rsidRPr="00234A72">
        <w:rPr>
          <w:lang w:val="en-GB"/>
        </w:rPr>
        <w:t>support</w:t>
      </w:r>
      <w:r w:rsidR="005E6526">
        <w:rPr>
          <w:lang w:val="en-GB"/>
        </w:rPr>
        <w:t>s</w:t>
      </w:r>
      <w:r w:rsidRPr="00234A72">
        <w:rPr>
          <w:lang w:val="en-GB"/>
        </w:rPr>
        <w:t xml:space="preserve"> the sustainable development of the marine and energy industries. Wärtsilä’s products </w:t>
      </w:r>
      <w:r w:rsidRPr="00234A72">
        <w:rPr>
          <w:lang w:val="en-GB"/>
        </w:rPr>
        <w:t xml:space="preserve">and solutions are designed to </w:t>
      </w:r>
      <w:r w:rsidR="005E6526">
        <w:rPr>
          <w:color w:val="3F3F3F"/>
          <w:lang w:val="en-GB"/>
        </w:rPr>
        <w:t xml:space="preserve">reliably </w:t>
      </w:r>
      <w:r w:rsidRPr="00234A72">
        <w:rPr>
          <w:lang w:val="en-GB"/>
        </w:rPr>
        <w:t>operate for up to 30 years. Therefore, focusing R&amp;D efforts on improving product or system level performance is crucial, as is adopting a lifecycle approach to performance optimi</w:t>
      </w:r>
      <w:r>
        <w:rPr>
          <w:lang w:val="en-GB"/>
        </w:rPr>
        <w:t>s</w:t>
      </w:r>
      <w:r w:rsidRPr="00234A72">
        <w:rPr>
          <w:lang w:val="en-GB"/>
        </w:rPr>
        <w:t>ation. In addition to improving the en</w:t>
      </w:r>
      <w:r w:rsidRPr="00234A72">
        <w:rPr>
          <w:lang w:val="en-GB"/>
        </w:rPr>
        <w:t xml:space="preserve">vironmental performance of its products and solutions, Wärtsilä also continuously monitors the impact caused by its own activities and targets reduced energy consumption in </w:t>
      </w:r>
      <w:r w:rsidR="005E6526">
        <w:rPr>
          <w:lang w:val="en-GB"/>
        </w:rPr>
        <w:t xml:space="preserve">all </w:t>
      </w:r>
      <w:r w:rsidRPr="00234A72">
        <w:rPr>
          <w:lang w:val="en-GB"/>
        </w:rPr>
        <w:t xml:space="preserve">its facilities. </w:t>
      </w:r>
    </w:p>
    <w:p w:rsidR="00234A72" w:rsidRPr="00234A72" w:rsidP="00234A72">
      <w:pPr>
        <w:pStyle w:val="WNormal"/>
        <w:rPr>
          <w:lang w:val="en-GB"/>
        </w:rPr>
      </w:pPr>
      <w:r w:rsidRPr="00234A72">
        <w:rPr>
          <w:lang w:val="en-GB"/>
        </w:rPr>
        <w:t>Wärtsilä’s quality, environmental, health and safety policy se</w:t>
      </w:r>
      <w:r w:rsidRPr="00234A72">
        <w:rPr>
          <w:lang w:val="en-GB"/>
        </w:rPr>
        <w:t xml:space="preserve">ts principles for managing the environmental impacts of </w:t>
      </w:r>
      <w:r w:rsidR="005E6526">
        <w:rPr>
          <w:color w:val="3F3F3F"/>
          <w:lang w:val="en-GB"/>
        </w:rPr>
        <w:t xml:space="preserve">the company’s </w:t>
      </w:r>
      <w:r w:rsidRPr="00234A72">
        <w:rPr>
          <w:lang w:val="en-GB"/>
        </w:rPr>
        <w:t>products and services. The potential risks related to environmental matters and climate change are in the areas of regulatory emission restrictions</w:t>
      </w:r>
      <w:r w:rsidR="005E6526">
        <w:rPr>
          <w:lang w:val="en-GB"/>
        </w:rPr>
        <w:t>,</w:t>
      </w:r>
      <w:r w:rsidRPr="00234A72">
        <w:rPr>
          <w:lang w:val="en-GB"/>
        </w:rPr>
        <w:t xml:space="preserve"> and changes in customer attitudes to </w:t>
      </w:r>
      <w:r w:rsidRPr="00234A72">
        <w:rPr>
          <w:lang w:val="en-GB"/>
        </w:rPr>
        <w:t xml:space="preserve">using combustion engines and fossil fuels. Risks are managed by </w:t>
      </w:r>
      <w:r w:rsidR="005E6526">
        <w:rPr>
          <w:color w:val="3F3F3F"/>
          <w:lang w:val="en-GB"/>
        </w:rPr>
        <w:t xml:space="preserve">having R&amp;D activities </w:t>
      </w:r>
      <w:r w:rsidRPr="00234A72">
        <w:rPr>
          <w:lang w:val="en-GB"/>
        </w:rPr>
        <w:t>focus</w:t>
      </w:r>
      <w:r w:rsidR="005E6526">
        <w:rPr>
          <w:lang w:val="en-GB"/>
        </w:rPr>
        <w:t>ed</w:t>
      </w:r>
      <w:r w:rsidRPr="00234A72">
        <w:rPr>
          <w:lang w:val="en-GB"/>
        </w:rPr>
        <w:t xml:space="preserve"> on product efficiency improvement</w:t>
      </w:r>
      <w:r w:rsidR="005E6526">
        <w:rPr>
          <w:lang w:val="en-GB"/>
        </w:rPr>
        <w:t>s</w:t>
      </w:r>
      <w:r w:rsidRPr="00234A72">
        <w:rPr>
          <w:lang w:val="en-GB"/>
        </w:rPr>
        <w:t xml:space="preserve"> and emission</w:t>
      </w:r>
      <w:r w:rsidR="005E6526">
        <w:rPr>
          <w:lang w:val="en-GB"/>
        </w:rPr>
        <w:t>s</w:t>
      </w:r>
      <w:r w:rsidRPr="00234A72">
        <w:rPr>
          <w:lang w:val="en-GB"/>
        </w:rPr>
        <w:t xml:space="preserve"> reduction, as well as by developing a </w:t>
      </w:r>
      <w:r w:rsidR="004C18E7">
        <w:rPr>
          <w:color w:val="3F3F3F"/>
          <w:lang w:val="en-GB"/>
        </w:rPr>
        <w:t xml:space="preserve">broad </w:t>
      </w:r>
      <w:r w:rsidRPr="00234A72">
        <w:rPr>
          <w:lang w:val="en-GB"/>
        </w:rPr>
        <w:t xml:space="preserve">product offering, including technologies related to waste reduction, </w:t>
      </w:r>
      <w:r w:rsidRPr="00234A72">
        <w:rPr>
          <w:lang w:val="en-GB"/>
        </w:rPr>
        <w:t xml:space="preserve">noise abatement, and effluent and ballast water treatment. During 2021, R&amp;D </w:t>
      </w:r>
      <w:r w:rsidRPr="00E548FA">
        <w:rPr>
          <w:lang w:val="en-GB"/>
        </w:rPr>
        <w:t xml:space="preserve">expenditure </w:t>
      </w:r>
      <w:r w:rsidRPr="00234A72">
        <w:rPr>
          <w:lang w:val="en-GB"/>
        </w:rPr>
        <w:t>tota</w:t>
      </w:r>
      <w:r w:rsidR="001945EB">
        <w:rPr>
          <w:lang w:val="en-GB"/>
        </w:rPr>
        <w:t>l</w:t>
      </w:r>
      <w:r w:rsidRPr="00234A72">
        <w:rPr>
          <w:lang w:val="en-GB"/>
        </w:rPr>
        <w:t>led EUR 175 million, which represents 3.7% of net sales. The majority of these investments targeted improved environmental performance. Significant achievements re</w:t>
      </w:r>
      <w:r w:rsidRPr="00234A72">
        <w:rPr>
          <w:lang w:val="en-GB"/>
        </w:rPr>
        <w:t xml:space="preserve">lated to sustainable innovation included progress made in developing engine technology to run on zero-carbon fuels. </w:t>
      </w:r>
    </w:p>
    <w:p w:rsidR="00234A72" w:rsidRPr="00234A72" w:rsidP="00234A72">
      <w:pPr>
        <w:pStyle w:val="WNormal"/>
        <w:rPr>
          <w:lang w:val="en-GB"/>
        </w:rPr>
      </w:pPr>
      <w:r w:rsidRPr="00234A72">
        <w:rPr>
          <w:lang w:val="en-GB"/>
        </w:rPr>
        <w:t xml:space="preserve">For the marine markets, Wärtsilä continued to launch solutions that support its purpose to enable sustainable societies through innovation </w:t>
      </w:r>
      <w:r w:rsidRPr="00234A72">
        <w:rPr>
          <w:lang w:val="en-GB"/>
        </w:rPr>
        <w:t>in technology and services. An upgraded version of the 20DF dual-fuel engine was introduced. The engine can now deliver more power with less energy consumption</w:t>
      </w:r>
      <w:r w:rsidR="004C18E7">
        <w:rPr>
          <w:lang w:val="en-GB"/>
        </w:rPr>
        <w:t>, while</w:t>
      </w:r>
      <w:r w:rsidRPr="00234A72">
        <w:rPr>
          <w:lang w:val="en-GB"/>
        </w:rPr>
        <w:t xml:space="preserve"> its methane slip is lowered by 40%. In the energy sector, Wärtsilä launched grid balancin</w:t>
      </w:r>
      <w:r w:rsidRPr="00234A72">
        <w:rPr>
          <w:lang w:val="en-GB"/>
        </w:rPr>
        <w:t xml:space="preserve">g technology as part of a portfolio of products designed to </w:t>
      </w:r>
      <w:r w:rsidRPr="00234A72">
        <w:rPr>
          <w:lang w:val="en-GB"/>
        </w:rPr>
        <w:t xml:space="preserve">cost effectively accelerate the energy transition. The portfolio consists of power plants, as well as energy storage and energy management systems. </w:t>
      </w:r>
    </w:p>
    <w:p w:rsidR="009B6868" w:rsidRPr="00A714A1" w:rsidP="00234A72">
      <w:pPr>
        <w:pStyle w:val="WNormal"/>
        <w:rPr>
          <w:lang w:val="en-GB"/>
        </w:rPr>
      </w:pPr>
      <w:r w:rsidRPr="00234A72">
        <w:rPr>
          <w:lang w:val="en-GB"/>
        </w:rPr>
        <w:t xml:space="preserve">Wärtsilä announced its “Set for 30” commitment to achieve ambitious </w:t>
      </w:r>
      <w:r w:rsidR="00A100CA">
        <w:rPr>
          <w:lang w:val="en-GB"/>
        </w:rPr>
        <w:t>decarbonisation</w:t>
      </w:r>
      <w:r w:rsidRPr="00234A72">
        <w:rPr>
          <w:lang w:val="en-GB"/>
        </w:rPr>
        <w:t xml:space="preserve"> targets. Wärtsilä’s goal is by 2030:</w:t>
      </w:r>
    </w:p>
    <w:p w:rsidR="009B6868" w:rsidRPr="00A714A1" w:rsidP="009B6868">
      <w:pPr>
        <w:pStyle w:val="WNormal"/>
        <w:numPr>
          <w:ilvl w:val="0"/>
          <w:numId w:val="1"/>
        </w:numPr>
        <w:rPr>
          <w:lang w:val="en-GB"/>
        </w:rPr>
      </w:pPr>
      <w:r w:rsidRPr="00A714A1">
        <w:rPr>
          <w:lang w:val="en-GB"/>
        </w:rPr>
        <w:t>To become carbon</w:t>
      </w:r>
      <w:r>
        <w:rPr>
          <w:lang w:val="en-GB"/>
        </w:rPr>
        <w:t>-</w:t>
      </w:r>
      <w:r w:rsidRPr="00A714A1">
        <w:rPr>
          <w:lang w:val="en-GB"/>
        </w:rPr>
        <w:t xml:space="preserve">neutral in its own operations, and </w:t>
      </w:r>
    </w:p>
    <w:p w:rsidR="009B6868" w:rsidRPr="00A714A1" w:rsidP="009B6868">
      <w:pPr>
        <w:pStyle w:val="WNormal"/>
        <w:numPr>
          <w:ilvl w:val="0"/>
          <w:numId w:val="1"/>
        </w:numPr>
        <w:rPr>
          <w:lang w:val="en-GB"/>
        </w:rPr>
      </w:pPr>
      <w:r w:rsidRPr="00A714A1">
        <w:rPr>
          <w:lang w:val="en-GB"/>
        </w:rPr>
        <w:t>To provide a product portfolio ready for zero</w:t>
      </w:r>
      <w:r>
        <w:rPr>
          <w:lang w:val="en-GB"/>
        </w:rPr>
        <w:t>-</w:t>
      </w:r>
      <w:r w:rsidRPr="00A714A1">
        <w:rPr>
          <w:lang w:val="en-GB"/>
        </w:rPr>
        <w:t>carbon fuels.</w:t>
      </w:r>
    </w:p>
    <w:p w:rsidR="00206A12" w:rsidP="00A123B1">
      <w:pPr>
        <w:pStyle w:val="WHeading40"/>
        <w:rPr>
          <w:lang w:val="en-GB"/>
        </w:rPr>
      </w:pPr>
    </w:p>
    <w:p w:rsidR="0076044C" w:rsidRPr="00A714A1" w:rsidP="00A123B1">
      <w:pPr>
        <w:pStyle w:val="WHeading40"/>
        <w:rPr>
          <w:lang w:val="en-GB"/>
        </w:rPr>
      </w:pPr>
      <w:r w:rsidRPr="00A714A1">
        <w:rPr>
          <w:lang w:val="en-GB"/>
        </w:rPr>
        <w:t>Social and employee m</w:t>
      </w:r>
      <w:r w:rsidRPr="00A714A1">
        <w:rPr>
          <w:lang w:val="en-GB"/>
        </w:rPr>
        <w:t xml:space="preserve">atters </w:t>
      </w:r>
    </w:p>
    <w:p w:rsidR="00234A72" w:rsidRPr="00234A72" w:rsidP="00234A72">
      <w:pPr>
        <w:pStyle w:val="WNormal"/>
        <w:rPr>
          <w:lang w:val="en-GB"/>
        </w:rPr>
      </w:pPr>
      <w:r w:rsidRPr="00234A72">
        <w:rPr>
          <w:lang w:val="en-GB"/>
        </w:rPr>
        <w:t xml:space="preserve">Wärtsilä is a responsible employer, offering employees a workplace where openness, respect, trust, equal opportunities, and scope for personal development prevail. </w:t>
      </w:r>
      <w:r w:rsidR="004C18E7">
        <w:rPr>
          <w:color w:val="3F3F3F"/>
          <w:lang w:val="en-GB"/>
        </w:rPr>
        <w:t xml:space="preserve">The company </w:t>
      </w:r>
      <w:r w:rsidRPr="00234A72">
        <w:rPr>
          <w:lang w:val="en-GB"/>
        </w:rPr>
        <w:t xml:space="preserve">is a signatory </w:t>
      </w:r>
      <w:r w:rsidR="004C18E7">
        <w:rPr>
          <w:lang w:val="en-GB"/>
        </w:rPr>
        <w:t>to</w:t>
      </w:r>
      <w:r w:rsidRPr="00234A72" w:rsidR="004C18E7">
        <w:rPr>
          <w:lang w:val="en-GB"/>
        </w:rPr>
        <w:t xml:space="preserve"> </w:t>
      </w:r>
      <w:r w:rsidRPr="00234A72">
        <w:rPr>
          <w:lang w:val="en-GB"/>
        </w:rPr>
        <w:t>the UN Global Compact initiative and supports the work</w:t>
      </w:r>
      <w:r w:rsidRPr="00234A72">
        <w:rPr>
          <w:lang w:val="en-GB"/>
        </w:rPr>
        <w:t>-related rights defined by the International Labour Organization (ILO). Wärtsilä’s corporate policy on equal opportunities and fair employment practices creates a common framework for employee practices in all Wärtsilä companies. People management processe</w:t>
      </w:r>
      <w:r w:rsidRPr="00234A72">
        <w:rPr>
          <w:lang w:val="en-GB"/>
        </w:rPr>
        <w:t>s, tools, and ways of working are developed to ensure consistency across national and organi</w:t>
      </w:r>
      <w:r w:rsidR="001945EB">
        <w:rPr>
          <w:lang w:val="en-GB"/>
        </w:rPr>
        <w:t>s</w:t>
      </w:r>
      <w:r w:rsidRPr="00234A72">
        <w:rPr>
          <w:lang w:val="en-GB"/>
        </w:rPr>
        <w:t>ational boundaries. Wärtsilä has a global job grading system and rewarding principles to ensure transparency and fairness for all employees</w:t>
      </w:r>
      <w:r w:rsidR="004C18E7">
        <w:rPr>
          <w:color w:val="3F3F3F"/>
          <w:lang w:val="en-GB"/>
        </w:rPr>
        <w:t>. These</w:t>
      </w:r>
      <w:r w:rsidRPr="00234A72">
        <w:rPr>
          <w:lang w:val="en-GB"/>
        </w:rPr>
        <w:t xml:space="preserve"> are followed by </w:t>
      </w:r>
      <w:r w:rsidRPr="00234A72">
        <w:rPr>
          <w:lang w:val="en-GB"/>
        </w:rPr>
        <w:t xml:space="preserve">all </w:t>
      </w:r>
      <w:r w:rsidR="004C18E7">
        <w:rPr>
          <w:color w:val="3F3F3F"/>
          <w:lang w:val="en-GB"/>
        </w:rPr>
        <w:t xml:space="preserve">Wärtsilä </w:t>
      </w:r>
      <w:r w:rsidRPr="00234A72">
        <w:rPr>
          <w:lang w:val="en-GB"/>
        </w:rPr>
        <w:t xml:space="preserve">entities globally. </w:t>
      </w:r>
    </w:p>
    <w:p w:rsidR="00234A72" w:rsidRPr="00234A72" w:rsidP="00234A72">
      <w:pPr>
        <w:pStyle w:val="WNormal"/>
        <w:rPr>
          <w:lang w:val="en-GB"/>
        </w:rPr>
      </w:pPr>
      <w:r w:rsidRPr="00234A72">
        <w:rPr>
          <w:lang w:val="en-GB"/>
        </w:rPr>
        <w:t>The objective of Wärtsilä’s people strategy is to ensure that the businesses have the required skilled and motivated resources at their disposal. In order to develop their competences, employees are offered a wide variety o</w:t>
      </w:r>
      <w:r w:rsidRPr="00234A72">
        <w:rPr>
          <w:lang w:val="en-GB"/>
        </w:rPr>
        <w:t xml:space="preserve">f internal training courses, including topics </w:t>
      </w:r>
      <w:r w:rsidR="004C18E7">
        <w:rPr>
          <w:color w:val="3F3F3F"/>
          <w:lang w:val="en-GB"/>
        </w:rPr>
        <w:t xml:space="preserve">covering </w:t>
      </w:r>
      <w:r w:rsidRPr="00234A72">
        <w:rPr>
          <w:lang w:val="en-GB"/>
        </w:rPr>
        <w:t xml:space="preserve">technology, health and safety, language and culture, project management, environment, security, and leadership. The average number of learning days was 1.1 per employee in 2021. </w:t>
      </w:r>
    </w:p>
    <w:p w:rsidR="007F47FE" w:rsidRPr="00A714A1" w:rsidP="00234A72">
      <w:pPr>
        <w:pStyle w:val="WNormal"/>
        <w:rPr>
          <w:lang w:val="en-GB"/>
        </w:rPr>
      </w:pPr>
      <w:r w:rsidRPr="00234A72">
        <w:rPr>
          <w:lang w:val="en-GB"/>
        </w:rPr>
        <w:t xml:space="preserve">Wärtsilä </w:t>
      </w:r>
      <w:r w:rsidRPr="00234A72" w:rsidR="00234A72">
        <w:rPr>
          <w:lang w:val="en-GB"/>
        </w:rPr>
        <w:t>aims at offering its employees and contractors a hazard-free working environment, and at minimi</w:t>
      </w:r>
      <w:r>
        <w:rPr>
          <w:lang w:val="en-GB"/>
        </w:rPr>
        <w:t>s</w:t>
      </w:r>
      <w:r w:rsidRPr="00234A72" w:rsidR="00234A72">
        <w:rPr>
          <w:lang w:val="en-GB"/>
        </w:rPr>
        <w:t xml:space="preserve">ing the health and safety risks associated with the use of its products and services. The company’s occupational health and safety principles are defined in the Code of Conduct, the quality, environmental, health and safety (QEHS) policy, and in the directive on environment, health, and safety (EHS). </w:t>
      </w:r>
      <w:r w:rsidRPr="00234A72">
        <w:rPr>
          <w:lang w:val="en-GB"/>
        </w:rPr>
        <w:t>Wärtsilä</w:t>
      </w:r>
      <w:r w:rsidRPr="00234A72" w:rsidR="00234A72">
        <w:rPr>
          <w:lang w:val="en-GB"/>
        </w:rPr>
        <w:t xml:space="preserve">’s entities are required to have a management system in place that conforms to the QEHS Policy </w:t>
      </w:r>
      <w:r w:rsidRPr="00234A72" w:rsidR="00234A72">
        <w:rPr>
          <w:lang w:val="en-GB"/>
        </w:rPr>
        <w:t xml:space="preserve">and the EHS directive. In addition to the management system, </w:t>
      </w:r>
      <w:r w:rsidRPr="00234A72">
        <w:rPr>
          <w:lang w:val="en-GB"/>
        </w:rPr>
        <w:t xml:space="preserve">Wärtsilä </w:t>
      </w:r>
      <w:r w:rsidRPr="00234A72" w:rsidR="00234A72">
        <w:rPr>
          <w:lang w:val="en-GB"/>
        </w:rPr>
        <w:t>companies apply occupational health and safety program</w:t>
      </w:r>
      <w:r w:rsidR="004C18E7">
        <w:rPr>
          <w:lang w:val="en-GB"/>
        </w:rPr>
        <w:t>me</w:t>
      </w:r>
      <w:r w:rsidRPr="00234A72" w:rsidR="00234A72">
        <w:rPr>
          <w:lang w:val="en-GB"/>
        </w:rPr>
        <w:t xml:space="preserve">s as required by local legislation. </w:t>
      </w:r>
      <w:r w:rsidRPr="00234A72">
        <w:rPr>
          <w:lang w:val="en-GB"/>
        </w:rPr>
        <w:t>Wärtsilä</w:t>
      </w:r>
      <w:r w:rsidRPr="00234A72" w:rsidR="00234A72">
        <w:rPr>
          <w:lang w:val="en-GB"/>
        </w:rPr>
        <w:t>’s aim is to reach a long-term goal of zero injuries. In 2021, the corporate lost-time injury frequency rate was 1.55 (2.03).</w:t>
      </w:r>
      <w:r w:rsidRPr="00A714A1" w:rsidR="005B51C8">
        <w:rPr>
          <w:lang w:val="en-GB"/>
        </w:rPr>
        <w:t xml:space="preserve"> </w:t>
      </w:r>
    </w:p>
    <w:p w:rsidR="00B81D1D" w:rsidRPr="00A714A1" w:rsidP="00A123B1">
      <w:pPr>
        <w:pStyle w:val="WHeading40"/>
        <w:rPr>
          <w:lang w:val="en-GB"/>
        </w:rPr>
      </w:pPr>
      <w:r w:rsidRPr="00A714A1">
        <w:rPr>
          <w:lang w:val="en-GB"/>
        </w:rPr>
        <w:t>Respect for human rights</w:t>
      </w:r>
    </w:p>
    <w:p w:rsidR="007F47FE" w:rsidRPr="00234A72" w:rsidP="00234A72">
      <w:pPr>
        <w:pStyle w:val="WNormal"/>
        <w:rPr>
          <w:lang w:val="en-GB"/>
        </w:rPr>
      </w:pPr>
      <w:r w:rsidRPr="00234A72">
        <w:rPr>
          <w:lang w:val="en-GB"/>
        </w:rPr>
        <w:t xml:space="preserve">Wärtsilä </w:t>
      </w:r>
      <w:r w:rsidRPr="00234A72" w:rsidR="00234A72">
        <w:rPr>
          <w:color w:val="3F3F3F"/>
          <w:lang w:val="en-GB"/>
        </w:rPr>
        <w:t xml:space="preserve">supports and respects basic human values as outlined in the UN’s universal declaration of human rights. </w:t>
      </w:r>
      <w:r w:rsidRPr="00234A72">
        <w:rPr>
          <w:lang w:val="en-GB"/>
        </w:rPr>
        <w:t xml:space="preserve">Wärtsilä </w:t>
      </w:r>
      <w:r w:rsidRPr="00234A72" w:rsidR="00234A72">
        <w:rPr>
          <w:color w:val="3F3F3F"/>
          <w:lang w:val="en-GB"/>
        </w:rPr>
        <w:t xml:space="preserve">is also a signatory </w:t>
      </w:r>
      <w:r w:rsidR="004C18E7">
        <w:rPr>
          <w:color w:val="3F3F3F"/>
          <w:lang w:val="en-GB"/>
        </w:rPr>
        <w:t>to</w:t>
      </w:r>
      <w:r w:rsidRPr="00234A72" w:rsidR="004C18E7">
        <w:rPr>
          <w:color w:val="3F3F3F"/>
          <w:lang w:val="en-GB"/>
        </w:rPr>
        <w:t xml:space="preserve"> </w:t>
      </w:r>
      <w:r w:rsidRPr="00234A72" w:rsidR="00234A72">
        <w:rPr>
          <w:color w:val="3F3F3F"/>
          <w:lang w:val="en-GB"/>
        </w:rPr>
        <w:t xml:space="preserve">the UN Global Compact and is thereby committed to its principles with respect to human rights, labour, the environment, and anti-corruption. No employee is allowed to take any action that violates these human rights principles, either directly or indirectly. </w:t>
      </w:r>
      <w:r w:rsidRPr="00234A72">
        <w:rPr>
          <w:lang w:val="en-GB"/>
        </w:rPr>
        <w:t xml:space="preserve">Wärtsilä </w:t>
      </w:r>
      <w:r w:rsidRPr="00234A72" w:rsidR="00234A72">
        <w:rPr>
          <w:color w:val="3F3F3F"/>
          <w:lang w:val="en-GB"/>
        </w:rPr>
        <w:t xml:space="preserve">does not accept the use of forced labour or child labour in any form. Human and labour rights are a part of the Code of Conduct training material and are included in </w:t>
      </w:r>
      <w:r w:rsidRPr="00234A72">
        <w:rPr>
          <w:lang w:val="en-GB"/>
        </w:rPr>
        <w:t xml:space="preserve">Wärtsilä </w:t>
      </w:r>
      <w:r w:rsidRPr="00234A72" w:rsidR="00234A72">
        <w:rPr>
          <w:color w:val="3F3F3F"/>
          <w:lang w:val="en-GB"/>
        </w:rPr>
        <w:t>policy on equal opportunities and fair employment practices</w:t>
      </w:r>
      <w:r w:rsidR="004C18E7">
        <w:rPr>
          <w:color w:val="3F3F3F"/>
          <w:lang w:val="en-GB"/>
        </w:rPr>
        <w:t>,</w:t>
      </w:r>
      <w:r w:rsidRPr="00234A72" w:rsidR="00234A72">
        <w:rPr>
          <w:color w:val="3F3F3F"/>
          <w:lang w:val="en-GB"/>
        </w:rPr>
        <w:t xml:space="preserve"> as well as </w:t>
      </w:r>
      <w:r w:rsidR="004C18E7">
        <w:rPr>
          <w:color w:val="3F3F3F"/>
          <w:lang w:val="en-GB"/>
        </w:rPr>
        <w:t xml:space="preserve">being listed </w:t>
      </w:r>
      <w:r w:rsidRPr="00234A72" w:rsidR="00234A72">
        <w:rPr>
          <w:color w:val="3F3F3F"/>
          <w:lang w:val="en-GB"/>
        </w:rPr>
        <w:t>in the company’s supplier handbook.</w:t>
      </w:r>
    </w:p>
    <w:p w:rsidR="007F47FE" w:rsidRPr="00A714A1" w:rsidP="00A123B1">
      <w:pPr>
        <w:pStyle w:val="WHeading40"/>
        <w:rPr>
          <w:lang w:val="en-GB"/>
        </w:rPr>
      </w:pPr>
      <w:r w:rsidRPr="00A714A1">
        <w:rPr>
          <w:lang w:val="en-GB"/>
        </w:rPr>
        <w:t>Anti-corruption and bribery matters</w:t>
      </w:r>
    </w:p>
    <w:p w:rsidR="00234A72" w:rsidRPr="00234A72" w:rsidP="00234A72">
      <w:pPr>
        <w:pStyle w:val="WNormal"/>
        <w:rPr>
          <w:lang w:val="en-GB"/>
        </w:rPr>
      </w:pPr>
      <w:r w:rsidRPr="00234A72">
        <w:rPr>
          <w:lang w:val="en-GB"/>
        </w:rPr>
        <w:t>Wärtsilä’s Code of Conduct, anti</w:t>
      </w:r>
      <w:r w:rsidRPr="00234A72">
        <w:rPr>
          <w:lang w:val="en-GB"/>
        </w:rPr>
        <w:t>-corruption policy, and broker directive expressly prohibit the company and its employees from offering or accepting any kind of benefit considered a bribe</w:t>
      </w:r>
      <w:r w:rsidR="004C18E7">
        <w:rPr>
          <w:lang w:val="en-GB"/>
        </w:rPr>
        <w:t>,</w:t>
      </w:r>
      <w:r w:rsidRPr="00234A72">
        <w:rPr>
          <w:lang w:val="en-GB"/>
        </w:rPr>
        <w:t xml:space="preserve"> and from taking actions that could give rise to a conflict of interest or breach of loyalty. The in</w:t>
      </w:r>
      <w:r w:rsidRPr="00234A72">
        <w:rPr>
          <w:lang w:val="en-GB"/>
        </w:rPr>
        <w:t xml:space="preserve">structions make it compulsory to comply with </w:t>
      </w:r>
      <w:r w:rsidR="004C18E7">
        <w:rPr>
          <w:lang w:val="en-GB"/>
        </w:rPr>
        <w:t xml:space="preserve">the </w:t>
      </w:r>
      <w:r w:rsidRPr="00234A72">
        <w:rPr>
          <w:lang w:val="en-GB"/>
        </w:rPr>
        <w:t>anti-corruption laws of all the countries in which Wärtsilä does or intends to do business</w:t>
      </w:r>
      <w:r w:rsidR="004C18E7">
        <w:rPr>
          <w:lang w:val="en-GB"/>
        </w:rPr>
        <w:t>,</w:t>
      </w:r>
      <w:r w:rsidRPr="00234A72">
        <w:rPr>
          <w:lang w:val="en-GB"/>
        </w:rPr>
        <w:t xml:space="preserve"> and urge the reporting of any cases of corruption and bribery. </w:t>
      </w:r>
    </w:p>
    <w:p w:rsidR="00A714A1" w:rsidRPr="00A714A1" w:rsidP="00234A72">
      <w:pPr>
        <w:pStyle w:val="WNormal"/>
        <w:rPr>
          <w:lang w:val="en-GB"/>
        </w:rPr>
      </w:pPr>
      <w:r w:rsidRPr="00234A72">
        <w:rPr>
          <w:lang w:val="en-GB"/>
        </w:rPr>
        <w:t xml:space="preserve">Wärtsilä </w:t>
      </w:r>
      <w:r w:rsidRPr="00234A72" w:rsidR="00234A72">
        <w:rPr>
          <w:lang w:val="en-GB"/>
        </w:rPr>
        <w:t>is aware of the risk of being subject to fraud by external business parties, and that the risk of corruption and fraud is high in many markets where the company operates. Therefore, full compliance with a stringent anti-corruption regime is required of all employees. An extensive training program</w:t>
      </w:r>
      <w:r w:rsidR="004C18E7">
        <w:rPr>
          <w:lang w:val="en-GB"/>
        </w:rPr>
        <w:t>me</w:t>
      </w:r>
      <w:r w:rsidRPr="00234A72" w:rsidR="00234A72">
        <w:rPr>
          <w:lang w:val="en-GB"/>
        </w:rPr>
        <w:t xml:space="preserve"> is in place for personnel on anti-corruption principles and applicable legislation</w:t>
      </w:r>
      <w:r w:rsidR="004C18E7">
        <w:rPr>
          <w:lang w:val="en-GB"/>
        </w:rPr>
        <w:t>,</w:t>
      </w:r>
      <w:r w:rsidRPr="00234A72" w:rsidR="00234A72">
        <w:rPr>
          <w:lang w:val="en-GB"/>
        </w:rPr>
        <w:t xml:space="preserve"> as well as </w:t>
      </w:r>
      <w:r w:rsidR="004C18E7">
        <w:rPr>
          <w:lang w:val="en-GB"/>
        </w:rPr>
        <w:t xml:space="preserve">on </w:t>
      </w:r>
      <w:r w:rsidRPr="00234A72" w:rsidR="00234A72">
        <w:rPr>
          <w:lang w:val="en-GB"/>
        </w:rPr>
        <w:t xml:space="preserve">the relevant company policies and procedures. By the end of 2021, 88% of </w:t>
      </w:r>
      <w:r w:rsidRPr="00234A72">
        <w:rPr>
          <w:lang w:val="en-GB"/>
        </w:rPr>
        <w:t>Wärtsilä</w:t>
      </w:r>
      <w:r w:rsidRPr="00234A72" w:rsidR="00234A72">
        <w:rPr>
          <w:lang w:val="en-GB"/>
        </w:rPr>
        <w:t>’s employees had participated in anti-corruption training</w:t>
      </w:r>
      <w:r w:rsidR="004C18E7">
        <w:rPr>
          <w:lang w:val="en-GB"/>
        </w:rPr>
        <w:t xml:space="preserve"> </w:t>
      </w:r>
      <w:r w:rsidRPr="00234A72" w:rsidR="00234A72">
        <w:rPr>
          <w:lang w:val="en-GB"/>
        </w:rPr>
        <w:t>s</w:t>
      </w:r>
      <w:r w:rsidR="004C18E7">
        <w:rPr>
          <w:color w:val="3F3F3F"/>
          <w:lang w:val="en-GB"/>
        </w:rPr>
        <w:t>essions</w:t>
      </w:r>
      <w:r w:rsidRPr="00234A72" w:rsidR="00234A72">
        <w:rPr>
          <w:lang w:val="en-GB"/>
        </w:rPr>
        <w:t>. Employees are encouraged to provide feedback and communicate suspected misconduct to line management or directly to the Compliance, Legal Affairs, or Internal Audit function</w:t>
      </w:r>
      <w:r w:rsidR="004C18E7">
        <w:rPr>
          <w:lang w:val="en-GB"/>
        </w:rPr>
        <w:t>s</w:t>
      </w:r>
      <w:r w:rsidRPr="00234A72" w:rsidR="00234A72">
        <w:rPr>
          <w:lang w:val="en-GB"/>
        </w:rPr>
        <w:t xml:space="preserve">. </w:t>
      </w:r>
      <w:r w:rsidRPr="00234A72">
        <w:rPr>
          <w:lang w:val="en-GB"/>
        </w:rPr>
        <w:t xml:space="preserve">Wärtsilä </w:t>
      </w:r>
      <w:r w:rsidRPr="00234A72" w:rsidR="00234A72">
        <w:rPr>
          <w:lang w:val="en-GB"/>
        </w:rPr>
        <w:t>also has a dedicated tool through which employees can report infringements.</w:t>
      </w:r>
    </w:p>
    <w:p w:rsidR="00E24FC8" w:rsidRPr="00A714A1" w:rsidP="00E24FC8">
      <w:pPr>
        <w:pStyle w:val="WHeading40"/>
        <w:rPr>
          <w:lang w:val="en-GB"/>
        </w:rPr>
      </w:pPr>
      <w:r w:rsidRPr="00A714A1">
        <w:rPr>
          <w:lang w:val="en-GB"/>
        </w:rPr>
        <w:t>EU</w:t>
      </w:r>
      <w:r w:rsidRPr="00A714A1">
        <w:rPr>
          <w:lang w:val="en-GB"/>
        </w:rPr>
        <w:t xml:space="preserve"> Sustainable Finance Taxonomy disclosures</w:t>
      </w:r>
    </w:p>
    <w:p w:rsidR="00234A72" w:rsidRPr="00BB299E" w:rsidP="00234A72">
      <w:pPr>
        <w:pStyle w:val="WNormal"/>
        <w:rPr>
          <w:lang w:val="en-GB"/>
        </w:rPr>
      </w:pPr>
      <w:r w:rsidRPr="00234A72">
        <w:rPr>
          <w:lang w:val="en-GB"/>
        </w:rPr>
        <w:t>Wärtsilä’s aim is to shape decarboni</w:t>
      </w:r>
      <w:r w:rsidR="001945EB">
        <w:rPr>
          <w:lang w:val="en-GB"/>
        </w:rPr>
        <w:t>s</w:t>
      </w:r>
      <w:r w:rsidRPr="00234A72">
        <w:rPr>
          <w:lang w:val="en-GB"/>
        </w:rPr>
        <w:t xml:space="preserve">ation in </w:t>
      </w:r>
      <w:r w:rsidR="004C18E7">
        <w:rPr>
          <w:lang w:val="en-GB"/>
        </w:rPr>
        <w:t xml:space="preserve">the </w:t>
      </w:r>
      <w:r w:rsidRPr="00234A72">
        <w:rPr>
          <w:lang w:val="en-GB"/>
        </w:rPr>
        <w:t>marine and energy markets</w:t>
      </w:r>
      <w:r w:rsidR="004C18E7">
        <w:rPr>
          <w:lang w:val="en-GB"/>
        </w:rPr>
        <w:t xml:space="preserve">. Consequently, </w:t>
      </w:r>
      <w:r w:rsidRPr="00234A72">
        <w:rPr>
          <w:lang w:val="en-GB"/>
        </w:rPr>
        <w:t>decarboni</w:t>
      </w:r>
      <w:r w:rsidR="001945EB">
        <w:rPr>
          <w:lang w:val="en-GB"/>
        </w:rPr>
        <w:t>s</w:t>
      </w:r>
      <w:r w:rsidRPr="00234A72">
        <w:rPr>
          <w:lang w:val="en-GB"/>
        </w:rPr>
        <w:t xml:space="preserve">ation is at the core of </w:t>
      </w:r>
      <w:r w:rsidR="004C18E7">
        <w:rPr>
          <w:lang w:val="en-GB"/>
        </w:rPr>
        <w:t xml:space="preserve">the company’s </w:t>
      </w:r>
      <w:r w:rsidRPr="00234A72">
        <w:rPr>
          <w:lang w:val="en-GB"/>
        </w:rPr>
        <w:t>strategy. Wärtsilä’s strong position, competences</w:t>
      </w:r>
      <w:r w:rsidR="004C18E7">
        <w:rPr>
          <w:lang w:val="en-GB"/>
        </w:rPr>
        <w:t>,</w:t>
      </w:r>
      <w:r w:rsidRPr="00234A72">
        <w:rPr>
          <w:lang w:val="en-GB"/>
        </w:rPr>
        <w:t xml:space="preserve"> and capabilities are critical enablers to successful</w:t>
      </w:r>
      <w:r w:rsidR="00A560F8">
        <w:rPr>
          <w:lang w:val="en-GB"/>
        </w:rPr>
        <w:t xml:space="preserve">ly achieving these </w:t>
      </w:r>
      <w:r w:rsidRPr="00BB299E" w:rsidR="00A560F8">
        <w:rPr>
          <w:lang w:val="en-GB"/>
        </w:rPr>
        <w:t>ambitions,</w:t>
      </w:r>
      <w:r w:rsidRPr="00BB299E">
        <w:rPr>
          <w:lang w:val="en-GB"/>
        </w:rPr>
        <w:t xml:space="preserve"> and enabl</w:t>
      </w:r>
      <w:r w:rsidRPr="00BB299E" w:rsidR="00A560F8">
        <w:rPr>
          <w:lang w:val="en-GB"/>
        </w:rPr>
        <w:t>ing</w:t>
      </w:r>
      <w:r w:rsidRPr="00BB299E">
        <w:rPr>
          <w:lang w:val="en-GB"/>
        </w:rPr>
        <w:t xml:space="preserve"> its customers to decarboni</w:t>
      </w:r>
      <w:r w:rsidRPr="00BB299E" w:rsidR="001945EB">
        <w:rPr>
          <w:lang w:val="en-GB"/>
        </w:rPr>
        <w:t>s</w:t>
      </w:r>
      <w:r w:rsidRPr="00BB299E">
        <w:rPr>
          <w:lang w:val="en-GB"/>
        </w:rPr>
        <w:t xml:space="preserve">e their economic activities. </w:t>
      </w:r>
    </w:p>
    <w:p w:rsidR="00234A72" w:rsidRPr="00234A72" w:rsidP="00234A72">
      <w:pPr>
        <w:pStyle w:val="WNormal"/>
        <w:rPr>
          <w:lang w:val="en-GB"/>
        </w:rPr>
      </w:pPr>
      <w:r w:rsidRPr="00BB299E">
        <w:rPr>
          <w:lang w:val="en-GB"/>
        </w:rPr>
        <w:t xml:space="preserve">Wärtsilä has a key role </w:t>
      </w:r>
      <w:r w:rsidRPr="00BB299E" w:rsidR="00A560F8">
        <w:rPr>
          <w:lang w:val="en-GB"/>
        </w:rPr>
        <w:t xml:space="preserve">to play </w:t>
      </w:r>
      <w:r w:rsidRPr="00BB299E">
        <w:rPr>
          <w:lang w:val="en-GB"/>
        </w:rPr>
        <w:t>in decarboni</w:t>
      </w:r>
      <w:r w:rsidRPr="00BB299E" w:rsidR="001945EB">
        <w:rPr>
          <w:lang w:val="en-GB"/>
        </w:rPr>
        <w:t>s</w:t>
      </w:r>
      <w:r w:rsidRPr="00BB299E">
        <w:rPr>
          <w:lang w:val="en-GB"/>
        </w:rPr>
        <w:t>ing</w:t>
      </w:r>
      <w:r w:rsidRPr="00234A72">
        <w:rPr>
          <w:lang w:val="en-GB"/>
        </w:rPr>
        <w:t xml:space="preserve"> vessels and </w:t>
      </w:r>
      <w:r w:rsidRPr="00234A72" w:rsidR="00A560F8">
        <w:rPr>
          <w:lang w:val="en-GB"/>
        </w:rPr>
        <w:t xml:space="preserve">the </w:t>
      </w:r>
      <w:r w:rsidRPr="00234A72">
        <w:rPr>
          <w:lang w:val="en-GB"/>
        </w:rPr>
        <w:t xml:space="preserve">overall shipping value chain. </w:t>
      </w:r>
      <w:r w:rsidR="00A560F8">
        <w:rPr>
          <w:lang w:val="en-GB"/>
        </w:rPr>
        <w:t xml:space="preserve">The company’s extensive </w:t>
      </w:r>
      <w:r w:rsidRPr="00234A72">
        <w:rPr>
          <w:lang w:val="en-GB"/>
        </w:rPr>
        <w:t>product and solution portfolio, including engines, propulsion systems, hybrid solutions, integrated powertrain systems, emission abatement solutions</w:t>
      </w:r>
      <w:r w:rsidR="00A560F8">
        <w:rPr>
          <w:lang w:val="en-GB"/>
        </w:rPr>
        <w:t>,</w:t>
      </w:r>
      <w:r w:rsidRPr="00234A72">
        <w:rPr>
          <w:lang w:val="en-GB"/>
        </w:rPr>
        <w:t xml:space="preserve"> and voyage optimi</w:t>
      </w:r>
      <w:r w:rsidR="001945EB">
        <w:rPr>
          <w:lang w:val="en-GB"/>
        </w:rPr>
        <w:t>s</w:t>
      </w:r>
      <w:r w:rsidRPr="00234A72">
        <w:rPr>
          <w:lang w:val="en-GB"/>
        </w:rPr>
        <w:t>ation solutions are key contributors towards zero-emission</w:t>
      </w:r>
      <w:r w:rsidR="00A560F8">
        <w:rPr>
          <w:lang w:val="en-GB"/>
        </w:rPr>
        <w:t>s</w:t>
      </w:r>
      <w:r w:rsidRPr="00234A72">
        <w:rPr>
          <w:lang w:val="en-GB"/>
        </w:rPr>
        <w:t xml:space="preserve"> shipping. </w:t>
      </w:r>
    </w:p>
    <w:p w:rsidR="00234A72" w:rsidRPr="00234A72" w:rsidP="00234A72">
      <w:pPr>
        <w:pStyle w:val="WNormal"/>
        <w:rPr>
          <w:lang w:val="en-GB"/>
        </w:rPr>
      </w:pPr>
      <w:r w:rsidRPr="00234A72">
        <w:rPr>
          <w:lang w:val="en-GB"/>
        </w:rPr>
        <w:t>T</w:t>
      </w:r>
      <w:r w:rsidRPr="00234A72">
        <w:rPr>
          <w:lang w:val="en-GB"/>
        </w:rPr>
        <w:t>he energy and marine sectors still largely rely on the use of fossil fuels. Wärtsilä’s current portfolio already enables its customers to switch to carbon</w:t>
      </w:r>
      <w:r w:rsidR="002A4063">
        <w:rPr>
          <w:lang w:val="en-GB"/>
        </w:rPr>
        <w:t>-</w:t>
      </w:r>
      <w:r w:rsidRPr="00234A72">
        <w:rPr>
          <w:lang w:val="en-GB"/>
        </w:rPr>
        <w:t xml:space="preserve">neutral fuels, such as biofuels or synthetic methane. </w:t>
      </w:r>
      <w:r w:rsidR="00A560F8">
        <w:rPr>
          <w:color w:val="0F172B"/>
          <w:spacing w:val="2"/>
          <w:lang w:val="en-GB"/>
        </w:rPr>
        <w:t xml:space="preserve">Although the </w:t>
      </w:r>
      <w:r w:rsidRPr="00234A72">
        <w:rPr>
          <w:lang w:val="en-GB"/>
        </w:rPr>
        <w:t>transition from fossil fuels to ca</w:t>
      </w:r>
      <w:r w:rsidRPr="00234A72">
        <w:rPr>
          <w:lang w:val="en-GB"/>
        </w:rPr>
        <w:t>rbon</w:t>
      </w:r>
      <w:r w:rsidR="00A560F8">
        <w:rPr>
          <w:lang w:val="en-GB"/>
        </w:rPr>
        <w:t>-</w:t>
      </w:r>
      <w:r w:rsidRPr="00234A72">
        <w:rPr>
          <w:lang w:val="en-GB"/>
        </w:rPr>
        <w:t>neutral or carbon</w:t>
      </w:r>
      <w:r w:rsidR="00A560F8">
        <w:rPr>
          <w:lang w:val="en-GB"/>
        </w:rPr>
        <w:t>-</w:t>
      </w:r>
      <w:r w:rsidRPr="00234A72">
        <w:rPr>
          <w:lang w:val="en-GB"/>
        </w:rPr>
        <w:t>free fuels will happen gradually</w:t>
      </w:r>
      <w:r w:rsidR="00A560F8">
        <w:rPr>
          <w:lang w:val="en-GB"/>
        </w:rPr>
        <w:t>,</w:t>
      </w:r>
      <w:r w:rsidRPr="00234A72">
        <w:rPr>
          <w:lang w:val="en-GB"/>
        </w:rPr>
        <w:t xml:space="preserve"> Wärtsilä </w:t>
      </w:r>
      <w:r w:rsidR="00A560F8">
        <w:rPr>
          <w:color w:val="0F172B"/>
          <w:spacing w:val="2"/>
          <w:lang w:val="en-GB"/>
        </w:rPr>
        <w:t xml:space="preserve">is already positioned to assist it </w:t>
      </w:r>
      <w:r w:rsidRPr="00234A72">
        <w:rPr>
          <w:lang w:val="en-GB"/>
        </w:rPr>
        <w:t>by providing technologies that allow its customers to use more sustainable fuels as the</w:t>
      </w:r>
      <w:r w:rsidR="00A560F8">
        <w:rPr>
          <w:lang w:val="en-GB"/>
        </w:rPr>
        <w:t>y</w:t>
      </w:r>
      <w:r w:rsidRPr="00234A72">
        <w:rPr>
          <w:lang w:val="en-GB"/>
        </w:rPr>
        <w:t xml:space="preserve"> become available.</w:t>
      </w:r>
    </w:p>
    <w:p w:rsidR="00234A72" w:rsidRPr="00234A72" w:rsidP="00234A72">
      <w:pPr>
        <w:pStyle w:val="WNormal"/>
        <w:rPr>
          <w:lang w:val="en-GB"/>
        </w:rPr>
      </w:pPr>
      <w:r w:rsidRPr="00234A72">
        <w:rPr>
          <w:lang w:val="en-GB"/>
        </w:rPr>
        <w:t>In energy, Wärtsilä technologies enable the maxi</w:t>
      </w:r>
      <w:r w:rsidRPr="00234A72">
        <w:rPr>
          <w:lang w:val="en-GB"/>
        </w:rPr>
        <w:t>mal and optimal usage of renewable energy generation. Flexible engine power plants</w:t>
      </w:r>
      <w:r w:rsidR="00A560F8">
        <w:rPr>
          <w:lang w:val="en-GB"/>
        </w:rPr>
        <w:t>,</w:t>
      </w:r>
      <w:r w:rsidRPr="00234A72">
        <w:rPr>
          <w:lang w:val="en-GB"/>
        </w:rPr>
        <w:t xml:space="preserve"> together with energy storage solutions</w:t>
      </w:r>
      <w:r w:rsidR="00A560F8">
        <w:rPr>
          <w:lang w:val="en-GB"/>
        </w:rPr>
        <w:t>,</w:t>
      </w:r>
      <w:r w:rsidRPr="00234A72">
        <w:rPr>
          <w:lang w:val="en-GB"/>
        </w:rPr>
        <w:t xml:space="preserve"> improve power system efficiency, lower greenhouse gas emissions</w:t>
      </w:r>
      <w:r w:rsidR="00A560F8">
        <w:rPr>
          <w:lang w:val="en-GB"/>
        </w:rPr>
        <w:t>,</w:t>
      </w:r>
      <w:r w:rsidRPr="00234A72">
        <w:rPr>
          <w:lang w:val="en-GB"/>
        </w:rPr>
        <w:t xml:space="preserve"> and safeguard the security of supply.</w:t>
      </w:r>
    </w:p>
    <w:p w:rsidR="00234A72" w:rsidRPr="00234A72" w:rsidP="00234A72">
      <w:pPr>
        <w:pStyle w:val="WNormal"/>
        <w:rPr>
          <w:lang w:val="en-GB"/>
        </w:rPr>
      </w:pPr>
      <w:r w:rsidRPr="00234A72">
        <w:rPr>
          <w:lang w:val="en-GB"/>
        </w:rPr>
        <w:t>In 2021, Wärtsilä announced i</w:t>
      </w:r>
      <w:r w:rsidRPr="00234A72">
        <w:rPr>
          <w:lang w:val="en-GB"/>
        </w:rPr>
        <w:t>ts goal to be able to provide a product portfolio ready for zero-carbon fuels. The company’s aim is to support its customers on their decarbonisation journey, and thus shape the decarbonisation of the marine and energy sectors. Wärtsilä’s products and solu</w:t>
      </w:r>
      <w:r w:rsidRPr="00234A72">
        <w:rPr>
          <w:lang w:val="en-GB"/>
        </w:rPr>
        <w:t xml:space="preserve">tions will meet the most stringent environmental requirements, and the fuel flexibility of the engines powering these sectors is key to enabling the transformation. </w:t>
      </w:r>
    </w:p>
    <w:p w:rsidR="00234A72" w:rsidRPr="00234A72" w:rsidP="00234A72">
      <w:pPr>
        <w:pStyle w:val="WNormal"/>
        <w:rPr>
          <w:lang w:val="en-GB"/>
        </w:rPr>
      </w:pPr>
      <w:r w:rsidRPr="00234A72">
        <w:rPr>
          <w:lang w:val="en-GB"/>
        </w:rPr>
        <w:t xml:space="preserve">In July 2021, Wärtsilä launched a major test programme towards carbon-free solutions with </w:t>
      </w:r>
      <w:r w:rsidRPr="00234A72">
        <w:rPr>
          <w:lang w:val="en-GB"/>
        </w:rPr>
        <w:t>hydrogen and ammonia fuels. Wärtsilä’s fuel agnostic approach enables the company to support the energy and marine sectors in shaping sustainable and efficient future fuel strategies in several cost-optimal steps.</w:t>
      </w:r>
      <w:r w:rsidR="00A560F8">
        <w:rPr>
          <w:color w:val="0F172B"/>
          <w:lang w:val="en-GB"/>
        </w:rPr>
        <w:t xml:space="preserve"> The company </w:t>
      </w:r>
      <w:r w:rsidRPr="00234A72">
        <w:rPr>
          <w:lang w:val="en-GB"/>
        </w:rPr>
        <w:t xml:space="preserve">has invested continuously and </w:t>
      </w:r>
      <w:r w:rsidRPr="00234A72">
        <w:rPr>
          <w:lang w:val="en-GB"/>
        </w:rPr>
        <w:t>systematically in R&amp;D and has made a long-term effort in product development focusing on fuel flexibility, energy efficiency, and emissions reduction. Already today</w:t>
      </w:r>
      <w:r w:rsidR="00A560F8">
        <w:rPr>
          <w:lang w:val="en-GB"/>
        </w:rPr>
        <w:t>,</w:t>
      </w:r>
      <w:r w:rsidRPr="00234A72">
        <w:rPr>
          <w:lang w:val="en-GB"/>
        </w:rPr>
        <w:t xml:space="preserve"> Wärtsilä engines can run on biofuels, methanol and hydrogen blends. For the energy market,</w:t>
      </w:r>
      <w:r w:rsidRPr="00234A72">
        <w:rPr>
          <w:lang w:val="en-GB"/>
        </w:rPr>
        <w:t xml:space="preserve"> Wärtsilä expects to have an engine and plant </w:t>
      </w:r>
      <w:r w:rsidRPr="00234A72">
        <w:rPr>
          <w:lang w:val="en-GB"/>
        </w:rPr>
        <w:t xml:space="preserve">concept for pure hydrogen operation ready by 2025. For the marine </w:t>
      </w:r>
      <w:r w:rsidRPr="00A573A8">
        <w:rPr>
          <w:lang w:val="en-GB"/>
        </w:rPr>
        <w:t xml:space="preserve">market, </w:t>
      </w:r>
      <w:r w:rsidRPr="00A573A8" w:rsidR="00DB11F8">
        <w:rPr>
          <w:lang w:val="en-GB"/>
        </w:rPr>
        <w:t>Wärtsilä has already successfully tested an engine running with a fuel mix containing 70</w:t>
      </w:r>
      <w:r w:rsidRPr="00A573A8" w:rsidR="002A4063">
        <w:rPr>
          <w:lang w:val="en-GB"/>
        </w:rPr>
        <w:t>%</w:t>
      </w:r>
      <w:r w:rsidRPr="00A573A8" w:rsidR="00DB11F8">
        <w:rPr>
          <w:lang w:val="en-GB"/>
        </w:rPr>
        <w:t xml:space="preserve"> ammonia</w:t>
      </w:r>
      <w:r w:rsidRPr="00A573A8">
        <w:rPr>
          <w:lang w:val="en-GB"/>
        </w:rPr>
        <w:t>. Wärtsilä</w:t>
      </w:r>
      <w:r w:rsidRPr="00234A72">
        <w:rPr>
          <w:lang w:val="en-GB"/>
        </w:rPr>
        <w:t xml:space="preserve"> anticipates having an engine concept with pure ammonia fuel</w:t>
      </w:r>
      <w:r w:rsidRPr="00A560F8" w:rsidR="00A560F8">
        <w:rPr>
          <w:color w:val="0F172B"/>
          <w:lang w:val="en-GB"/>
        </w:rPr>
        <w:t xml:space="preserve"> </w:t>
      </w:r>
      <w:r w:rsidR="00A560F8">
        <w:rPr>
          <w:color w:val="0F172B"/>
          <w:lang w:val="en-GB"/>
        </w:rPr>
        <w:t>available</w:t>
      </w:r>
      <w:r w:rsidRPr="00234A72">
        <w:rPr>
          <w:lang w:val="en-GB"/>
        </w:rPr>
        <w:t xml:space="preserve"> in 2023.</w:t>
      </w:r>
    </w:p>
    <w:p w:rsidR="00E24FC8" w:rsidRPr="00A714A1" w:rsidP="00234A72">
      <w:pPr>
        <w:pStyle w:val="WNormal"/>
        <w:rPr>
          <w:lang w:val="en-GB"/>
        </w:rPr>
      </w:pPr>
      <w:r>
        <w:rPr>
          <w:lang w:val="en-GB"/>
        </w:rPr>
        <w:br w:type="column"/>
      </w:r>
      <w:r w:rsidRPr="00234A72">
        <w:rPr>
          <w:lang w:val="en-GB"/>
        </w:rPr>
        <w:t xml:space="preserve">Wärtsilä has done its first preliminary assessment regarding its economic activities against </w:t>
      </w:r>
      <w:r w:rsidR="00A560F8">
        <w:rPr>
          <w:lang w:val="en-GB"/>
        </w:rPr>
        <w:t xml:space="preserve">the </w:t>
      </w:r>
      <w:r w:rsidRPr="00234A72">
        <w:rPr>
          <w:lang w:val="en-GB"/>
        </w:rPr>
        <w:t>EU Sustainable Finance Taxonomy’s first Delegated Act on Climate</w:t>
      </w:r>
      <w:r w:rsidR="00A560F8">
        <w:rPr>
          <w:lang w:val="en-GB"/>
        </w:rPr>
        <w:t>,</w:t>
      </w:r>
      <w:r w:rsidRPr="00234A72">
        <w:rPr>
          <w:lang w:val="en-GB"/>
        </w:rPr>
        <w:t xml:space="preserve"> as required </w:t>
      </w:r>
      <w:r w:rsidRPr="00234A72">
        <w:rPr>
          <w:lang w:val="en-GB"/>
        </w:rPr>
        <w:t xml:space="preserve">by the Delegated Act on Article 8. Based on the preliminary assessment, Wärtsilä Taxonomy KPIs are as follows for </w:t>
      </w:r>
      <w:r w:rsidR="00A560F8">
        <w:rPr>
          <w:lang w:val="en-GB"/>
        </w:rPr>
        <w:t xml:space="preserve">the </w:t>
      </w:r>
      <w:r w:rsidRPr="00234A72">
        <w:rPr>
          <w:lang w:val="en-GB"/>
        </w:rPr>
        <w:t>year 2021:</w:t>
      </w:r>
    </w:p>
    <w:tbl>
      <w:tblPr>
        <w:tblStyle w:val="TableNormal"/>
        <w:tblW w:w="4632" w:type="dxa"/>
        <w:tblLook w:val="04A0"/>
      </w:tblPr>
      <w:tblGrid>
        <w:gridCol w:w="777"/>
        <w:gridCol w:w="1247"/>
        <w:gridCol w:w="1247"/>
        <w:gridCol w:w="1361"/>
      </w:tblGrid>
      <w:tr w:rsidTr="00596ED8">
        <w:tblPrEx>
          <w:tblW w:w="4632" w:type="dxa"/>
          <w:tblLook w:val="04A0"/>
        </w:tblPrEx>
        <w:trPr>
          <w:trHeight w:val="255"/>
        </w:trPr>
        <w:tc>
          <w:tcPr>
            <w:tcW w:w="777" w:type="dxa"/>
            <w:tcBorders>
              <w:top w:val="nil"/>
              <w:left w:val="nil"/>
              <w:bottom w:val="single" w:sz="8" w:space="0" w:color="auto"/>
              <w:right w:val="nil"/>
            </w:tcBorders>
            <w:shd w:val="clear" w:color="000000" w:fill="F0F4F6"/>
            <w:noWrap/>
            <w:vAlign w:val="center"/>
            <w:hideMark/>
          </w:tcPr>
          <w:p w:rsidR="00E24FC8" w:rsidRPr="00E24FC8" w:rsidP="00B11A4B">
            <w:pPr>
              <w:spacing w:after="0" w:line="240" w:lineRule="auto"/>
              <w:rPr>
                <w:rFonts w:ascii="Arial" w:eastAsia="Times New Roman" w:hAnsi="Arial" w:cs="Arial"/>
                <w:b/>
                <w:bCs/>
                <w:color w:val="000000"/>
                <w:sz w:val="15"/>
                <w:szCs w:val="15"/>
                <w:lang w:val="en-GB" w:eastAsia="en-GB"/>
              </w:rPr>
            </w:pPr>
            <w:bookmarkStart w:id="17" w:name="RANGE!B15:E20"/>
            <w:bookmarkStart w:id="18" w:name="_Hlk93326925"/>
            <w:r w:rsidRPr="00E24FC8">
              <w:rPr>
                <w:rFonts w:ascii="Arial" w:eastAsia="Times New Roman" w:hAnsi="Arial" w:cs="Arial"/>
                <w:b/>
                <w:bCs/>
                <w:color w:val="000000"/>
                <w:sz w:val="15"/>
                <w:szCs w:val="15"/>
                <w:lang w:val="en-GB" w:eastAsia="en-GB"/>
              </w:rPr>
              <w:t> </w:t>
            </w:r>
            <w:bookmarkEnd w:id="17"/>
            <w:r w:rsidRPr="00A714A1" w:rsidR="00B11A4B">
              <w:rPr>
                <w:rFonts w:ascii="Arial" w:eastAsia="Times New Roman" w:hAnsi="Arial" w:cs="Arial"/>
                <w:b/>
                <w:bCs/>
                <w:color w:val="000000"/>
                <w:sz w:val="15"/>
                <w:szCs w:val="15"/>
                <w:lang w:val="en-GB" w:eastAsia="en-GB"/>
              </w:rPr>
              <w:t>KPI</w:t>
            </w:r>
          </w:p>
        </w:tc>
        <w:tc>
          <w:tcPr>
            <w:tcW w:w="1247" w:type="dxa"/>
            <w:tcBorders>
              <w:top w:val="nil"/>
              <w:left w:val="nil"/>
              <w:bottom w:val="single" w:sz="8" w:space="0" w:color="auto"/>
              <w:right w:val="nil"/>
            </w:tcBorders>
            <w:shd w:val="clear" w:color="000000" w:fill="F0F4F6"/>
            <w:noWrap/>
            <w:vAlign w:val="center"/>
            <w:hideMark/>
          </w:tcPr>
          <w:p w:rsidR="00E24FC8" w:rsidRPr="00E24FC8" w:rsidP="001945EB">
            <w:pPr>
              <w:spacing w:after="0" w:line="240" w:lineRule="auto"/>
              <w:jc w:val="right"/>
              <w:rPr>
                <w:rFonts w:ascii="Arial" w:eastAsia="Times New Roman" w:hAnsi="Arial" w:cs="Arial"/>
                <w:b/>
                <w:bCs/>
                <w:color w:val="000000"/>
                <w:sz w:val="15"/>
                <w:szCs w:val="15"/>
                <w:lang w:val="en-GB" w:eastAsia="en-GB"/>
              </w:rPr>
            </w:pPr>
            <w:r w:rsidRPr="00A714A1">
              <w:rPr>
                <w:rFonts w:ascii="Arial" w:eastAsia="Times New Roman" w:hAnsi="Arial" w:cs="Arial"/>
                <w:b/>
                <w:bCs/>
                <w:color w:val="000000"/>
                <w:sz w:val="15"/>
                <w:szCs w:val="15"/>
                <w:lang w:val="en-GB" w:eastAsia="en-GB"/>
              </w:rPr>
              <w:t>Total</w:t>
            </w:r>
            <w:r w:rsidR="00234A72">
              <w:rPr>
                <w:rFonts w:ascii="Arial" w:eastAsia="Times New Roman" w:hAnsi="Arial" w:cs="Arial"/>
                <w:b/>
                <w:bCs/>
                <w:color w:val="000000"/>
                <w:sz w:val="15"/>
                <w:szCs w:val="15"/>
                <w:lang w:val="en-GB" w:eastAsia="en-GB"/>
              </w:rPr>
              <w:t>,</w:t>
            </w:r>
            <w:r w:rsidRPr="00A714A1">
              <w:rPr>
                <w:rFonts w:ascii="Arial" w:eastAsia="Times New Roman" w:hAnsi="Arial" w:cs="Arial"/>
                <w:b/>
                <w:bCs/>
                <w:color w:val="000000"/>
                <w:sz w:val="15"/>
                <w:szCs w:val="15"/>
                <w:lang w:val="en-GB" w:eastAsia="en-GB"/>
              </w:rPr>
              <w:t xml:space="preserve"> MEUR</w:t>
            </w:r>
          </w:p>
        </w:tc>
        <w:tc>
          <w:tcPr>
            <w:tcW w:w="1247" w:type="dxa"/>
            <w:tcBorders>
              <w:top w:val="nil"/>
              <w:left w:val="nil"/>
              <w:bottom w:val="single" w:sz="8" w:space="0" w:color="auto"/>
              <w:right w:val="nil"/>
            </w:tcBorders>
            <w:shd w:val="clear" w:color="000000" w:fill="F0F4F6"/>
            <w:noWrap/>
            <w:vAlign w:val="center"/>
            <w:hideMark/>
          </w:tcPr>
          <w:p w:rsidR="00E24FC8" w:rsidRPr="00E24FC8" w:rsidP="001945EB">
            <w:pPr>
              <w:spacing w:after="0" w:line="240" w:lineRule="auto"/>
              <w:jc w:val="right"/>
              <w:rPr>
                <w:rFonts w:ascii="Arial" w:eastAsia="Times New Roman" w:hAnsi="Arial" w:cs="Arial"/>
                <w:b/>
                <w:bCs/>
                <w:color w:val="000000"/>
                <w:sz w:val="15"/>
                <w:szCs w:val="15"/>
                <w:lang w:val="en-GB" w:eastAsia="en-GB"/>
              </w:rPr>
            </w:pPr>
            <w:r w:rsidRPr="00A714A1">
              <w:rPr>
                <w:rFonts w:ascii="Arial" w:eastAsia="Times New Roman" w:hAnsi="Arial" w:cs="Arial"/>
                <w:b/>
                <w:bCs/>
                <w:color w:val="000000"/>
                <w:sz w:val="15"/>
                <w:szCs w:val="15"/>
                <w:lang w:val="en-GB" w:eastAsia="en-GB"/>
              </w:rPr>
              <w:t>Eligible</w:t>
            </w:r>
            <w:r w:rsidR="00234A72">
              <w:rPr>
                <w:rFonts w:ascii="Arial" w:eastAsia="Times New Roman" w:hAnsi="Arial" w:cs="Arial"/>
                <w:b/>
                <w:bCs/>
                <w:color w:val="000000"/>
                <w:sz w:val="15"/>
                <w:szCs w:val="15"/>
                <w:lang w:val="en-GB" w:eastAsia="en-GB"/>
              </w:rPr>
              <w:t xml:space="preserve">, </w:t>
            </w:r>
            <w:r w:rsidRPr="00A714A1">
              <w:rPr>
                <w:rFonts w:ascii="Arial" w:eastAsia="Times New Roman" w:hAnsi="Arial" w:cs="Arial"/>
                <w:b/>
                <w:bCs/>
                <w:color w:val="000000"/>
                <w:sz w:val="15"/>
                <w:szCs w:val="15"/>
                <w:lang w:val="en-GB" w:eastAsia="en-GB"/>
              </w:rPr>
              <w:t>%</w:t>
            </w:r>
          </w:p>
        </w:tc>
        <w:tc>
          <w:tcPr>
            <w:tcW w:w="1361" w:type="dxa"/>
            <w:tcBorders>
              <w:top w:val="nil"/>
              <w:left w:val="nil"/>
              <w:bottom w:val="single" w:sz="8" w:space="0" w:color="auto"/>
              <w:right w:val="nil"/>
            </w:tcBorders>
            <w:shd w:val="clear" w:color="000000" w:fill="F0F4F6"/>
            <w:noWrap/>
            <w:vAlign w:val="center"/>
            <w:hideMark/>
          </w:tcPr>
          <w:p w:rsidR="00E24FC8" w:rsidRPr="00E24FC8" w:rsidP="001945EB">
            <w:pPr>
              <w:spacing w:after="0" w:line="240" w:lineRule="auto"/>
              <w:jc w:val="right"/>
              <w:rPr>
                <w:rFonts w:ascii="Arial" w:eastAsia="Times New Roman" w:hAnsi="Arial" w:cs="Arial"/>
                <w:b/>
                <w:bCs/>
                <w:color w:val="000000"/>
                <w:sz w:val="15"/>
                <w:szCs w:val="15"/>
                <w:lang w:val="en-GB" w:eastAsia="en-GB"/>
              </w:rPr>
            </w:pPr>
            <w:r w:rsidRPr="00A714A1">
              <w:rPr>
                <w:rFonts w:ascii="Arial" w:eastAsia="Times New Roman" w:hAnsi="Arial" w:cs="Arial"/>
                <w:b/>
                <w:bCs/>
                <w:color w:val="000000"/>
                <w:sz w:val="15"/>
                <w:szCs w:val="15"/>
                <w:lang w:val="en-GB" w:eastAsia="en-GB"/>
              </w:rPr>
              <w:t>Non-eligible</w:t>
            </w:r>
            <w:r w:rsidR="00234A72">
              <w:rPr>
                <w:rFonts w:ascii="Arial" w:eastAsia="Times New Roman" w:hAnsi="Arial" w:cs="Arial"/>
                <w:b/>
                <w:bCs/>
                <w:color w:val="000000"/>
                <w:sz w:val="15"/>
                <w:szCs w:val="15"/>
                <w:lang w:val="en-GB" w:eastAsia="en-GB"/>
              </w:rPr>
              <w:t xml:space="preserve">, </w:t>
            </w:r>
            <w:r w:rsidRPr="00A714A1">
              <w:rPr>
                <w:rFonts w:ascii="Arial" w:eastAsia="Times New Roman" w:hAnsi="Arial" w:cs="Arial"/>
                <w:b/>
                <w:bCs/>
                <w:color w:val="000000"/>
                <w:sz w:val="15"/>
                <w:szCs w:val="15"/>
                <w:lang w:val="en-GB" w:eastAsia="en-GB"/>
              </w:rPr>
              <w:t>%</w:t>
            </w:r>
          </w:p>
        </w:tc>
      </w:tr>
      <w:tr w:rsidTr="00596ED8">
        <w:tblPrEx>
          <w:tblW w:w="4632" w:type="dxa"/>
          <w:tblLook w:val="04A0"/>
        </w:tblPrEx>
        <w:trPr>
          <w:trHeight w:val="255"/>
        </w:trPr>
        <w:tc>
          <w:tcPr>
            <w:tcW w:w="777" w:type="dxa"/>
            <w:tcBorders>
              <w:top w:val="nil"/>
              <w:left w:val="nil"/>
              <w:bottom w:val="nil"/>
              <w:right w:val="nil"/>
            </w:tcBorders>
            <w:shd w:val="clear" w:color="000000" w:fill="FFFFFF"/>
            <w:noWrap/>
            <w:vAlign w:val="center"/>
            <w:hideMark/>
          </w:tcPr>
          <w:p w:rsidR="00E24FC8" w:rsidRPr="00E24FC8" w:rsidP="00E24FC8">
            <w:pPr>
              <w:spacing w:after="0" w:line="240" w:lineRule="auto"/>
              <w:rPr>
                <w:rFonts w:ascii="Arial" w:eastAsia="Times New Roman" w:hAnsi="Arial" w:cs="Arial"/>
                <w:color w:val="111111"/>
                <w:sz w:val="14"/>
                <w:szCs w:val="14"/>
                <w:lang w:val="en-GB" w:eastAsia="en-GB"/>
              </w:rPr>
            </w:pPr>
            <w:r w:rsidRPr="00A714A1">
              <w:rPr>
                <w:rFonts w:ascii="Arial" w:eastAsia="Times New Roman" w:hAnsi="Arial" w:cs="Arial"/>
                <w:color w:val="111111"/>
                <w:sz w:val="14"/>
                <w:szCs w:val="14"/>
                <w:lang w:val="en-GB" w:eastAsia="en-GB"/>
              </w:rPr>
              <w:t>Turnover</w:t>
            </w:r>
          </w:p>
        </w:tc>
        <w:tc>
          <w:tcPr>
            <w:tcW w:w="1247" w:type="dxa"/>
            <w:tcBorders>
              <w:top w:val="nil"/>
              <w:left w:val="nil"/>
              <w:bottom w:val="nil"/>
              <w:right w:val="nil"/>
            </w:tcBorders>
            <w:shd w:val="clear" w:color="000000" w:fill="FFFFFF"/>
            <w:noWrap/>
            <w:vAlign w:val="center"/>
          </w:tcPr>
          <w:p w:rsidR="00E24FC8" w:rsidRPr="00E24FC8" w:rsidP="00E24FC8">
            <w:pPr>
              <w:spacing w:after="0" w:line="240" w:lineRule="auto"/>
              <w:jc w:val="right"/>
              <w:rPr>
                <w:rFonts w:ascii="Arial" w:eastAsia="Times New Roman" w:hAnsi="Arial" w:cs="Arial"/>
                <w:sz w:val="14"/>
                <w:szCs w:val="14"/>
                <w:lang w:val="en-GB" w:eastAsia="en-GB"/>
              </w:rPr>
            </w:pPr>
            <w:r>
              <w:rPr>
                <w:rFonts w:ascii="Arial" w:eastAsia="Times New Roman" w:hAnsi="Arial" w:cs="Arial"/>
                <w:sz w:val="14"/>
                <w:szCs w:val="14"/>
                <w:lang w:val="en-GB" w:eastAsia="en-GB"/>
              </w:rPr>
              <w:t>4,778</w:t>
            </w:r>
          </w:p>
        </w:tc>
        <w:tc>
          <w:tcPr>
            <w:tcW w:w="1247" w:type="dxa"/>
            <w:tcBorders>
              <w:top w:val="nil"/>
              <w:left w:val="nil"/>
              <w:bottom w:val="nil"/>
              <w:right w:val="nil"/>
            </w:tcBorders>
            <w:shd w:val="clear" w:color="000000" w:fill="FFFFFF"/>
            <w:noWrap/>
            <w:vAlign w:val="center"/>
          </w:tcPr>
          <w:p w:rsidR="00E24FC8" w:rsidRPr="00E24FC8" w:rsidP="00E24FC8">
            <w:pPr>
              <w:spacing w:after="0" w:line="240" w:lineRule="auto"/>
              <w:jc w:val="right"/>
              <w:rPr>
                <w:rFonts w:ascii="Arial" w:eastAsia="Times New Roman" w:hAnsi="Arial" w:cs="Arial"/>
                <w:color w:val="111111"/>
                <w:sz w:val="14"/>
                <w:szCs w:val="14"/>
                <w:lang w:val="en-GB" w:eastAsia="en-GB"/>
              </w:rPr>
            </w:pPr>
            <w:r w:rsidRPr="00A714A1">
              <w:rPr>
                <w:rFonts w:ascii="Arial" w:eastAsia="Times New Roman" w:hAnsi="Arial" w:cs="Arial"/>
                <w:color w:val="111111"/>
                <w:sz w:val="14"/>
                <w:szCs w:val="14"/>
                <w:lang w:val="en-GB" w:eastAsia="en-GB"/>
              </w:rPr>
              <w:t>8</w:t>
            </w:r>
          </w:p>
        </w:tc>
        <w:tc>
          <w:tcPr>
            <w:tcW w:w="1361" w:type="dxa"/>
            <w:tcBorders>
              <w:top w:val="nil"/>
              <w:left w:val="nil"/>
              <w:bottom w:val="single" w:sz="4" w:space="0" w:color="004B6B"/>
              <w:right w:val="nil"/>
            </w:tcBorders>
            <w:shd w:val="clear" w:color="000000" w:fill="FFFFFF"/>
            <w:noWrap/>
            <w:vAlign w:val="center"/>
          </w:tcPr>
          <w:p w:rsidR="00E24FC8" w:rsidRPr="00E24FC8" w:rsidP="00E24FC8">
            <w:pPr>
              <w:spacing w:after="0" w:line="240" w:lineRule="auto"/>
              <w:jc w:val="right"/>
              <w:rPr>
                <w:rFonts w:ascii="Arial" w:eastAsia="Times New Roman" w:hAnsi="Arial" w:cs="Arial"/>
                <w:color w:val="111111"/>
                <w:sz w:val="14"/>
                <w:szCs w:val="14"/>
                <w:lang w:val="en-GB" w:eastAsia="en-GB"/>
              </w:rPr>
            </w:pPr>
            <w:r w:rsidRPr="00A714A1">
              <w:rPr>
                <w:rFonts w:ascii="Arial" w:eastAsia="Times New Roman" w:hAnsi="Arial" w:cs="Arial"/>
                <w:color w:val="111111"/>
                <w:sz w:val="14"/>
                <w:szCs w:val="14"/>
                <w:lang w:val="en-GB" w:eastAsia="en-GB"/>
              </w:rPr>
              <w:t>92</w:t>
            </w:r>
          </w:p>
        </w:tc>
      </w:tr>
      <w:tr w:rsidTr="00596ED8">
        <w:tblPrEx>
          <w:tblW w:w="4632" w:type="dxa"/>
          <w:tblLook w:val="04A0"/>
        </w:tblPrEx>
        <w:trPr>
          <w:trHeight w:val="255"/>
        </w:trPr>
        <w:tc>
          <w:tcPr>
            <w:tcW w:w="777" w:type="dxa"/>
            <w:tcBorders>
              <w:top w:val="single" w:sz="4" w:space="0" w:color="004B6B"/>
              <w:left w:val="nil"/>
              <w:bottom w:val="single" w:sz="4" w:space="0" w:color="004B6B"/>
              <w:right w:val="nil"/>
            </w:tcBorders>
            <w:shd w:val="clear" w:color="000000" w:fill="FFFFFF"/>
            <w:noWrap/>
            <w:vAlign w:val="center"/>
            <w:hideMark/>
          </w:tcPr>
          <w:p w:rsidR="00E24FC8" w:rsidRPr="00E24FC8" w:rsidP="00E24FC8">
            <w:pPr>
              <w:spacing w:after="0" w:line="240" w:lineRule="auto"/>
              <w:rPr>
                <w:rFonts w:ascii="Arial" w:eastAsia="Times New Roman" w:hAnsi="Arial" w:cs="Arial"/>
                <w:color w:val="111111"/>
                <w:sz w:val="14"/>
                <w:szCs w:val="14"/>
                <w:lang w:val="en-GB" w:eastAsia="en-GB"/>
              </w:rPr>
            </w:pPr>
            <w:r w:rsidRPr="00A714A1">
              <w:rPr>
                <w:rFonts w:ascii="Arial" w:eastAsia="Times New Roman" w:hAnsi="Arial" w:cs="Arial"/>
                <w:color w:val="111111"/>
                <w:sz w:val="14"/>
                <w:szCs w:val="14"/>
                <w:lang w:val="en-GB" w:eastAsia="en-GB"/>
              </w:rPr>
              <w:t>CapEx</w:t>
            </w:r>
          </w:p>
        </w:tc>
        <w:tc>
          <w:tcPr>
            <w:tcW w:w="1247" w:type="dxa"/>
            <w:tcBorders>
              <w:top w:val="single" w:sz="4" w:space="0" w:color="004B6B"/>
              <w:left w:val="nil"/>
              <w:bottom w:val="single" w:sz="4" w:space="0" w:color="004B6B"/>
              <w:right w:val="nil"/>
            </w:tcBorders>
            <w:shd w:val="clear" w:color="000000" w:fill="FFFFFF"/>
            <w:noWrap/>
            <w:vAlign w:val="center"/>
          </w:tcPr>
          <w:p w:rsidR="00E24FC8" w:rsidRPr="00E24FC8" w:rsidP="00E24FC8">
            <w:pPr>
              <w:spacing w:after="0" w:line="240" w:lineRule="auto"/>
              <w:jc w:val="right"/>
              <w:rPr>
                <w:rFonts w:ascii="Arial" w:eastAsia="Times New Roman" w:hAnsi="Arial" w:cs="Arial"/>
                <w:color w:val="111111"/>
                <w:sz w:val="14"/>
                <w:szCs w:val="14"/>
                <w:lang w:val="en-GB" w:eastAsia="en-GB"/>
              </w:rPr>
            </w:pPr>
            <w:r>
              <w:rPr>
                <w:rFonts w:ascii="Arial" w:eastAsia="Times New Roman" w:hAnsi="Arial" w:cs="Arial"/>
                <w:color w:val="111111"/>
                <w:sz w:val="14"/>
                <w:szCs w:val="14"/>
                <w:lang w:val="en-GB" w:eastAsia="en-GB"/>
              </w:rPr>
              <w:t>226</w:t>
            </w:r>
          </w:p>
        </w:tc>
        <w:tc>
          <w:tcPr>
            <w:tcW w:w="1247" w:type="dxa"/>
            <w:tcBorders>
              <w:top w:val="single" w:sz="4" w:space="0" w:color="004B6B"/>
              <w:left w:val="nil"/>
              <w:bottom w:val="single" w:sz="4" w:space="0" w:color="004B6B"/>
              <w:right w:val="nil"/>
            </w:tcBorders>
            <w:shd w:val="clear" w:color="000000" w:fill="FFFFFF"/>
            <w:noWrap/>
            <w:vAlign w:val="center"/>
          </w:tcPr>
          <w:p w:rsidR="00E24FC8" w:rsidRPr="00E24FC8" w:rsidP="00E24FC8">
            <w:pPr>
              <w:spacing w:after="0" w:line="240" w:lineRule="auto"/>
              <w:jc w:val="right"/>
              <w:rPr>
                <w:rFonts w:ascii="Arial" w:eastAsia="Times New Roman" w:hAnsi="Arial" w:cs="Arial"/>
                <w:color w:val="111111"/>
                <w:sz w:val="14"/>
                <w:szCs w:val="14"/>
                <w:lang w:val="en-GB" w:eastAsia="en-GB"/>
              </w:rPr>
            </w:pPr>
            <w:r>
              <w:rPr>
                <w:rFonts w:ascii="Arial" w:eastAsia="Times New Roman" w:hAnsi="Arial" w:cs="Arial"/>
                <w:color w:val="111111"/>
                <w:sz w:val="14"/>
                <w:szCs w:val="14"/>
                <w:lang w:val="en-GB" w:eastAsia="en-GB"/>
              </w:rPr>
              <w:t>22</w:t>
            </w:r>
          </w:p>
        </w:tc>
        <w:tc>
          <w:tcPr>
            <w:tcW w:w="1361" w:type="dxa"/>
            <w:tcBorders>
              <w:top w:val="single" w:sz="4" w:space="0" w:color="004B6B"/>
              <w:left w:val="nil"/>
              <w:bottom w:val="single" w:sz="4" w:space="0" w:color="004B6B"/>
              <w:right w:val="nil"/>
            </w:tcBorders>
            <w:shd w:val="clear" w:color="000000" w:fill="FFFFFF"/>
            <w:noWrap/>
            <w:vAlign w:val="center"/>
          </w:tcPr>
          <w:p w:rsidR="00E24FC8" w:rsidRPr="00E24FC8" w:rsidP="00E24FC8">
            <w:pPr>
              <w:spacing w:after="0" w:line="240" w:lineRule="auto"/>
              <w:jc w:val="right"/>
              <w:rPr>
                <w:rFonts w:ascii="Arial" w:eastAsia="Times New Roman" w:hAnsi="Arial" w:cs="Arial"/>
                <w:color w:val="111111"/>
                <w:sz w:val="14"/>
                <w:szCs w:val="14"/>
                <w:lang w:val="en-GB" w:eastAsia="en-GB"/>
              </w:rPr>
            </w:pPr>
            <w:r>
              <w:rPr>
                <w:rFonts w:ascii="Arial" w:eastAsia="Times New Roman" w:hAnsi="Arial" w:cs="Arial"/>
                <w:color w:val="111111"/>
                <w:sz w:val="14"/>
                <w:szCs w:val="14"/>
                <w:lang w:val="en-GB" w:eastAsia="en-GB"/>
              </w:rPr>
              <w:t>78</w:t>
            </w:r>
          </w:p>
        </w:tc>
      </w:tr>
      <w:tr w:rsidTr="002A2C6F">
        <w:tblPrEx>
          <w:tblW w:w="4632" w:type="dxa"/>
          <w:tblLook w:val="04A0"/>
        </w:tblPrEx>
        <w:trPr>
          <w:trHeight w:val="255"/>
        </w:trPr>
        <w:tc>
          <w:tcPr>
            <w:tcW w:w="777" w:type="dxa"/>
            <w:tcBorders>
              <w:top w:val="single" w:sz="4" w:space="0" w:color="004B6B"/>
              <w:left w:val="nil"/>
              <w:bottom w:val="single" w:sz="4" w:space="0" w:color="004B6B"/>
              <w:right w:val="nil"/>
            </w:tcBorders>
            <w:shd w:val="clear" w:color="000000" w:fill="FFFFFF"/>
            <w:noWrap/>
            <w:vAlign w:val="center"/>
            <w:hideMark/>
          </w:tcPr>
          <w:p w:rsidR="00E24FC8" w:rsidRPr="00E24FC8" w:rsidP="00E24FC8">
            <w:pPr>
              <w:spacing w:after="0" w:line="240" w:lineRule="auto"/>
              <w:rPr>
                <w:rFonts w:ascii="Arial" w:eastAsia="Times New Roman" w:hAnsi="Arial" w:cs="Arial"/>
                <w:color w:val="111111"/>
                <w:sz w:val="14"/>
                <w:szCs w:val="14"/>
                <w:lang w:val="en-GB" w:eastAsia="en-GB"/>
              </w:rPr>
            </w:pPr>
            <w:r w:rsidRPr="00A714A1">
              <w:rPr>
                <w:rFonts w:ascii="Arial" w:eastAsia="Times New Roman" w:hAnsi="Arial" w:cs="Arial"/>
                <w:color w:val="111111"/>
                <w:sz w:val="14"/>
                <w:szCs w:val="14"/>
                <w:lang w:val="en-GB" w:eastAsia="en-GB"/>
              </w:rPr>
              <w:t>OpEx</w:t>
            </w:r>
          </w:p>
        </w:tc>
        <w:tc>
          <w:tcPr>
            <w:tcW w:w="1247" w:type="dxa"/>
            <w:tcBorders>
              <w:top w:val="single" w:sz="4" w:space="0" w:color="004B6B"/>
              <w:left w:val="nil"/>
              <w:bottom w:val="single" w:sz="4" w:space="0" w:color="004B6B"/>
              <w:right w:val="nil"/>
            </w:tcBorders>
            <w:shd w:val="clear" w:color="000000" w:fill="FFFFFF"/>
            <w:noWrap/>
            <w:vAlign w:val="center"/>
          </w:tcPr>
          <w:p w:rsidR="00E24FC8" w:rsidRPr="00E24FC8" w:rsidP="00E24FC8">
            <w:pPr>
              <w:spacing w:after="0" w:line="240" w:lineRule="auto"/>
              <w:jc w:val="right"/>
              <w:rPr>
                <w:rFonts w:ascii="Arial" w:eastAsia="Times New Roman" w:hAnsi="Arial" w:cs="Arial"/>
                <w:color w:val="111111"/>
                <w:sz w:val="14"/>
                <w:szCs w:val="14"/>
                <w:lang w:val="en-GB" w:eastAsia="en-GB"/>
              </w:rPr>
            </w:pPr>
            <w:r>
              <w:rPr>
                <w:rFonts w:ascii="Arial" w:eastAsia="Times New Roman" w:hAnsi="Arial" w:cs="Arial"/>
                <w:color w:val="111111"/>
                <w:sz w:val="14"/>
                <w:szCs w:val="14"/>
                <w:lang w:val="en-GB" w:eastAsia="en-GB"/>
              </w:rPr>
              <w:t>176</w:t>
            </w:r>
          </w:p>
        </w:tc>
        <w:tc>
          <w:tcPr>
            <w:tcW w:w="1247" w:type="dxa"/>
            <w:tcBorders>
              <w:top w:val="single" w:sz="4" w:space="0" w:color="004B6B"/>
              <w:left w:val="nil"/>
              <w:bottom w:val="single" w:sz="4" w:space="0" w:color="004B6B"/>
              <w:right w:val="nil"/>
            </w:tcBorders>
            <w:shd w:val="clear" w:color="auto" w:fill="auto"/>
            <w:noWrap/>
            <w:vAlign w:val="center"/>
          </w:tcPr>
          <w:p w:rsidR="00E24FC8" w:rsidRPr="002A2C6F" w:rsidP="00E24FC8">
            <w:pPr>
              <w:spacing w:after="0" w:line="240" w:lineRule="auto"/>
              <w:jc w:val="right"/>
              <w:rPr>
                <w:rFonts w:ascii="Arial" w:eastAsia="Times New Roman" w:hAnsi="Arial" w:cs="Arial"/>
                <w:color w:val="111111"/>
                <w:sz w:val="14"/>
                <w:szCs w:val="14"/>
                <w:lang w:val="en-GB" w:eastAsia="en-GB"/>
              </w:rPr>
            </w:pPr>
            <w:r w:rsidRPr="002A2C6F">
              <w:rPr>
                <w:rFonts w:ascii="Arial" w:eastAsia="Times New Roman" w:hAnsi="Arial" w:cs="Arial"/>
                <w:color w:val="111111"/>
                <w:sz w:val="14"/>
                <w:szCs w:val="14"/>
                <w:lang w:val="en-GB" w:eastAsia="en-GB"/>
              </w:rPr>
              <w:t>8</w:t>
            </w:r>
          </w:p>
        </w:tc>
        <w:tc>
          <w:tcPr>
            <w:tcW w:w="1361" w:type="dxa"/>
            <w:tcBorders>
              <w:top w:val="single" w:sz="4" w:space="0" w:color="004B6B"/>
              <w:left w:val="nil"/>
              <w:bottom w:val="single" w:sz="4" w:space="0" w:color="004B6B"/>
              <w:right w:val="nil"/>
            </w:tcBorders>
            <w:shd w:val="clear" w:color="auto" w:fill="auto"/>
            <w:noWrap/>
            <w:vAlign w:val="center"/>
          </w:tcPr>
          <w:p w:rsidR="00E24FC8" w:rsidRPr="002A2C6F" w:rsidP="00E24FC8">
            <w:pPr>
              <w:spacing w:after="0" w:line="240" w:lineRule="auto"/>
              <w:jc w:val="right"/>
              <w:rPr>
                <w:rFonts w:ascii="Arial" w:eastAsia="Times New Roman" w:hAnsi="Arial" w:cs="Arial"/>
                <w:color w:val="111111"/>
                <w:sz w:val="14"/>
                <w:szCs w:val="14"/>
                <w:lang w:val="en-GB" w:eastAsia="en-GB"/>
              </w:rPr>
            </w:pPr>
            <w:r w:rsidRPr="002A2C6F">
              <w:rPr>
                <w:rFonts w:ascii="Arial" w:eastAsia="Times New Roman" w:hAnsi="Arial" w:cs="Arial"/>
                <w:color w:val="111111"/>
                <w:sz w:val="14"/>
                <w:szCs w:val="14"/>
                <w:lang w:val="en-GB" w:eastAsia="en-GB"/>
              </w:rPr>
              <w:t>9</w:t>
            </w:r>
            <w:r w:rsidRPr="002A2C6F" w:rsidR="00DB11F8">
              <w:rPr>
                <w:rFonts w:ascii="Arial" w:eastAsia="Times New Roman" w:hAnsi="Arial" w:cs="Arial"/>
                <w:color w:val="111111"/>
                <w:sz w:val="14"/>
                <w:szCs w:val="14"/>
                <w:lang w:val="en-GB" w:eastAsia="en-GB"/>
              </w:rPr>
              <w:t>2</w:t>
            </w:r>
          </w:p>
        </w:tc>
      </w:tr>
    </w:tbl>
    <w:p w:rsidR="00E24FC8" w:rsidP="00E24FC8">
      <w:pPr>
        <w:pStyle w:val="WNormal"/>
        <w:rPr>
          <w:lang w:val="en-GB"/>
        </w:rPr>
      </w:pPr>
      <w:bookmarkEnd w:id="18"/>
    </w:p>
    <w:p w:rsidR="00262964" w:rsidRPr="00BB299E" w:rsidP="00262964">
      <w:pPr>
        <w:pStyle w:val="WNormal"/>
        <w:rPr>
          <w:rFonts w:eastAsia="Calibri"/>
          <w:lang w:val="en-GB"/>
        </w:rPr>
      </w:pPr>
      <w:r w:rsidRPr="00BB299E">
        <w:rPr>
          <w:lang w:val="en-GB"/>
        </w:rPr>
        <w:t xml:space="preserve">Major parts of Wärtsilä’s economic activities are currently not covered in the first Delegated Act on Climate. </w:t>
      </w:r>
      <w:r w:rsidRPr="00BB299E" w:rsidR="00043F02">
        <w:rPr>
          <w:rFonts w:eastAsia="Calibri"/>
          <w:lang w:val="en-GB"/>
        </w:rPr>
        <w:t>Services in Marine and Energy accounted for 52% of Wärtsilä’s net sales in 2021. Services are a key enabler of installation uptime, reliability, reduced fuel consumption, and lower emissions. Services, however, are not included in the Taxonomy.</w:t>
      </w:r>
    </w:p>
    <w:p w:rsidR="00043F02" w:rsidRPr="00BB299E" w:rsidP="00262964">
      <w:pPr>
        <w:pStyle w:val="WNormal"/>
        <w:rPr>
          <w:lang w:val="en-GB"/>
        </w:rPr>
      </w:pPr>
      <w:r w:rsidRPr="00BB299E">
        <w:rPr>
          <w:lang w:val="en-GB"/>
        </w:rPr>
        <w:t xml:space="preserve">Wärtsilä has a key role to play in decarbonising vessels and the overall shipping value chain. The company’s extensive product and solution </w:t>
      </w:r>
      <w:r w:rsidRPr="00BB299E">
        <w:rPr>
          <w:lang w:val="en-GB"/>
        </w:rPr>
        <w:t>portfolio, including engines, propulsion systems, hybrid solutions, integrated powertrain systems</w:t>
      </w:r>
      <w:r w:rsidRPr="00BB299E" w:rsidR="00CC3731">
        <w:rPr>
          <w:lang w:val="en-GB"/>
        </w:rPr>
        <w:t>,</w:t>
      </w:r>
      <w:r w:rsidRPr="00BB299E">
        <w:rPr>
          <w:lang w:val="en-GB"/>
        </w:rPr>
        <w:t xml:space="preserve"> and emission abatement solutions are key contributors towards zero-emissions shipping. However, they are all outside </w:t>
      </w:r>
      <w:r w:rsidRPr="00BB299E" w:rsidR="00027A8A">
        <w:rPr>
          <w:lang w:val="en-GB"/>
        </w:rPr>
        <w:t xml:space="preserve">the </w:t>
      </w:r>
      <w:r w:rsidRPr="00BB299E">
        <w:rPr>
          <w:lang w:val="en-GB"/>
        </w:rPr>
        <w:t>taxonomy scope because only manufact</w:t>
      </w:r>
      <w:r w:rsidRPr="00BB299E">
        <w:rPr>
          <w:lang w:val="en-GB"/>
        </w:rPr>
        <w:t xml:space="preserve">uring of vessels </w:t>
      </w:r>
      <w:r w:rsidRPr="00BB299E" w:rsidR="00027A8A">
        <w:rPr>
          <w:lang w:val="en-GB"/>
        </w:rPr>
        <w:t xml:space="preserve">– </w:t>
      </w:r>
      <w:r w:rsidRPr="00BB299E">
        <w:rPr>
          <w:lang w:val="en-GB"/>
        </w:rPr>
        <w:t>not vessel technologies or components</w:t>
      </w:r>
      <w:r w:rsidRPr="00BB299E" w:rsidR="00027A8A">
        <w:rPr>
          <w:lang w:val="en-GB"/>
        </w:rPr>
        <w:t xml:space="preserve"> – </w:t>
      </w:r>
      <w:r w:rsidRPr="00BB299E">
        <w:rPr>
          <w:lang w:val="en-GB"/>
        </w:rPr>
        <w:t>is included. In Energy, engines ready for carbon</w:t>
      </w:r>
      <w:r w:rsidRPr="00BB299E" w:rsidR="00027A8A">
        <w:rPr>
          <w:lang w:val="en-GB"/>
        </w:rPr>
        <w:t>-</w:t>
      </w:r>
      <w:r w:rsidRPr="00BB299E">
        <w:rPr>
          <w:lang w:val="en-GB"/>
        </w:rPr>
        <w:t>neutral fuels,   running on natural gas or other fossil fuels</w:t>
      </w:r>
      <w:r w:rsidRPr="00BB299E" w:rsidR="00027A8A">
        <w:rPr>
          <w:lang w:val="en-GB"/>
        </w:rPr>
        <w:t>,</w:t>
      </w:r>
      <w:r w:rsidRPr="00BB299E">
        <w:rPr>
          <w:lang w:val="en-GB"/>
        </w:rPr>
        <w:t xml:space="preserve"> are also excluded.</w:t>
      </w:r>
    </w:p>
    <w:p w:rsidR="001945EB" w:rsidRPr="00043F02" w:rsidP="00262964">
      <w:pPr>
        <w:pStyle w:val="WNormal"/>
        <w:rPr>
          <w:lang w:val="en-GB"/>
        </w:rPr>
      </w:pPr>
      <w:r w:rsidRPr="00BB299E">
        <w:rPr>
          <w:lang w:val="en-GB"/>
        </w:rPr>
        <w:t>In total, 8% of Wärtsilä’s turnover was estimate</w:t>
      </w:r>
      <w:r w:rsidRPr="00BB299E" w:rsidR="00AC5B5E">
        <w:rPr>
          <w:lang w:val="en-GB"/>
        </w:rPr>
        <w:t>d</w:t>
      </w:r>
      <w:r w:rsidRPr="00BB299E">
        <w:rPr>
          <w:lang w:val="en-GB"/>
        </w:rPr>
        <w:t xml:space="preserve"> to be eligible, </w:t>
      </w:r>
      <w:r w:rsidRPr="00BB299E">
        <w:rPr>
          <w:lang w:val="en-GB"/>
        </w:rPr>
        <w:t xml:space="preserve">including </w:t>
      </w:r>
      <w:r w:rsidRPr="00BB299E" w:rsidR="00AC5B5E">
        <w:rPr>
          <w:lang w:val="en-GB"/>
        </w:rPr>
        <w:t xml:space="preserve">the </w:t>
      </w:r>
      <w:r w:rsidRPr="00BB299E">
        <w:rPr>
          <w:lang w:val="en-GB"/>
        </w:rPr>
        <w:t>energy storage business, biogas solutions</w:t>
      </w:r>
      <w:r w:rsidRPr="00BB299E" w:rsidR="00AC5B5E">
        <w:rPr>
          <w:lang w:val="en-GB"/>
        </w:rPr>
        <w:t>,</w:t>
      </w:r>
      <w:r w:rsidRPr="00BB299E">
        <w:rPr>
          <w:lang w:val="en-GB"/>
        </w:rPr>
        <w:t xml:space="preserve"> and digital voyage optimisation solutions.</w:t>
      </w:r>
    </w:p>
    <w:p w:rsidR="00A71288" w:rsidRPr="00A714A1" w:rsidP="001945EB">
      <w:pPr>
        <w:pStyle w:val="WNormal"/>
        <w:rPr>
          <w:lang w:val="en-GB"/>
        </w:rPr>
      </w:pPr>
      <w:r w:rsidRPr="001945EB">
        <w:rPr>
          <w:lang w:val="en-GB"/>
        </w:rPr>
        <w:t xml:space="preserve">To be able to report these figures, Wärtsilä has assessed its economic activities against the economic activities included in the Delegated Act on Climate. </w:t>
      </w:r>
      <w:r w:rsidRPr="001945EB">
        <w:rPr>
          <w:lang w:val="en-GB"/>
        </w:rPr>
        <w:t>Eligible economic activities have been identified by comparing the referred NACE codes in the Delegated Act to Wärtsilä’s economic activities. In addition, the relevant thresholds for substantial contribution have been assessed in order to determine the ec</w:t>
      </w:r>
      <w:r w:rsidRPr="001945EB">
        <w:rPr>
          <w:lang w:val="en-GB"/>
        </w:rPr>
        <w:t>onomic activities</w:t>
      </w:r>
      <w:r>
        <w:rPr>
          <w:lang w:val="en-GB"/>
        </w:rPr>
        <w:t>’</w:t>
      </w:r>
      <w:r w:rsidRPr="001945EB">
        <w:rPr>
          <w:lang w:val="en-GB"/>
        </w:rPr>
        <w:t xml:space="preserve"> eligibility. Revenues, capital expenditure</w:t>
      </w:r>
      <w:r w:rsidR="005D7A3D">
        <w:rPr>
          <w:lang w:val="en-GB"/>
        </w:rPr>
        <w:t>,</w:t>
      </w:r>
      <w:r w:rsidRPr="001945EB">
        <w:rPr>
          <w:lang w:val="en-GB"/>
        </w:rPr>
        <w:t xml:space="preserve"> and operating expenditure for eligible economic activities were collected from </w:t>
      </w:r>
      <w:r w:rsidR="005D7A3D">
        <w:rPr>
          <w:lang w:val="en-GB"/>
        </w:rPr>
        <w:t xml:space="preserve">the </w:t>
      </w:r>
      <w:r w:rsidRPr="001945EB">
        <w:rPr>
          <w:lang w:val="en-GB"/>
        </w:rPr>
        <w:t>accounting system.</w:t>
      </w:r>
    </w:p>
    <w:tbl>
      <w:tblPr>
        <w:tblStyle w:val="TableNormal"/>
        <w:tblpPr w:leftFromText="180" w:rightFromText="180" w:bottomFromText="160" w:vertAnchor="page" w:horzAnchor="margin" w:tblpXSpec="right" w:tblpY="1930"/>
        <w:tblW w:w="10052" w:type="dxa"/>
        <w:tblLook w:val="04A0"/>
      </w:tblPr>
      <w:tblGrid>
        <w:gridCol w:w="1277"/>
        <w:gridCol w:w="3673"/>
        <w:gridCol w:w="5102"/>
      </w:tblGrid>
      <w:tr w:rsidTr="00BD4474">
        <w:tblPrEx>
          <w:tblW w:w="10052" w:type="dxa"/>
          <w:tblLook w:val="04A0"/>
        </w:tblPrEx>
        <w:trPr>
          <w:trHeight w:val="284"/>
        </w:trPr>
        <w:tc>
          <w:tcPr>
            <w:tcW w:w="1277" w:type="dxa"/>
            <w:tcBorders>
              <w:top w:val="nil"/>
              <w:left w:val="nil"/>
              <w:bottom w:val="single" w:sz="8" w:space="0" w:color="auto"/>
              <w:right w:val="nil"/>
            </w:tcBorders>
            <w:shd w:val="clear" w:color="auto" w:fill="F0F4F6"/>
            <w:noWrap/>
            <w:vAlign w:val="center"/>
            <w:hideMark/>
          </w:tcPr>
          <w:p w:rsidR="00C1716D" w:rsidP="00C1716D">
            <w:pPr>
              <w:pStyle w:val="WNormal"/>
              <w:rPr>
                <w:b/>
                <w:bCs/>
                <w:sz w:val="15"/>
                <w:szCs w:val="15"/>
                <w:lang w:val="en-GB"/>
              </w:rPr>
            </w:pPr>
            <w:bookmarkStart w:id="19" w:name="_Hlk93394093"/>
            <w:r>
              <w:rPr>
                <w:b/>
                <w:bCs/>
                <w:sz w:val="15"/>
                <w:szCs w:val="15"/>
                <w:lang w:val="en-GB"/>
              </w:rPr>
              <w:t> KPI</w:t>
            </w:r>
          </w:p>
        </w:tc>
        <w:tc>
          <w:tcPr>
            <w:tcW w:w="3673" w:type="dxa"/>
            <w:tcBorders>
              <w:top w:val="nil"/>
              <w:left w:val="nil"/>
              <w:bottom w:val="single" w:sz="8" w:space="0" w:color="auto"/>
              <w:right w:val="nil"/>
            </w:tcBorders>
            <w:shd w:val="clear" w:color="auto" w:fill="F0F4F6"/>
            <w:noWrap/>
            <w:vAlign w:val="center"/>
            <w:hideMark/>
          </w:tcPr>
          <w:p w:rsidR="00C1716D" w:rsidP="00C1716D">
            <w:pPr>
              <w:pStyle w:val="WNormal"/>
              <w:rPr>
                <w:b/>
                <w:bCs/>
                <w:sz w:val="15"/>
                <w:szCs w:val="15"/>
                <w:lang w:val="en-GB"/>
              </w:rPr>
            </w:pPr>
            <w:r w:rsidRPr="001945EB">
              <w:rPr>
                <w:b/>
                <w:bCs/>
                <w:sz w:val="15"/>
                <w:szCs w:val="15"/>
                <w:lang w:val="en-GB"/>
              </w:rPr>
              <w:t xml:space="preserve">Identified </w:t>
            </w:r>
            <w:r>
              <w:rPr>
                <w:b/>
                <w:bCs/>
                <w:sz w:val="15"/>
                <w:szCs w:val="15"/>
                <w:lang w:val="en-GB"/>
              </w:rPr>
              <w:t>e</w:t>
            </w:r>
            <w:r w:rsidRPr="001945EB">
              <w:rPr>
                <w:b/>
                <w:bCs/>
                <w:sz w:val="15"/>
                <w:szCs w:val="15"/>
                <w:lang w:val="en-GB"/>
              </w:rPr>
              <w:t>ligible economic activities</w:t>
            </w:r>
          </w:p>
        </w:tc>
        <w:tc>
          <w:tcPr>
            <w:tcW w:w="5102" w:type="dxa"/>
            <w:tcBorders>
              <w:top w:val="nil"/>
              <w:left w:val="nil"/>
              <w:bottom w:val="single" w:sz="8" w:space="0" w:color="auto"/>
              <w:right w:val="nil"/>
            </w:tcBorders>
            <w:shd w:val="clear" w:color="auto" w:fill="F0F4F6"/>
            <w:noWrap/>
            <w:vAlign w:val="center"/>
            <w:hideMark/>
          </w:tcPr>
          <w:p w:rsidR="00C1716D" w:rsidP="00C1716D">
            <w:pPr>
              <w:pStyle w:val="WNormal"/>
              <w:rPr>
                <w:b/>
                <w:bCs/>
                <w:sz w:val="15"/>
                <w:szCs w:val="15"/>
                <w:lang w:val="en-GB"/>
              </w:rPr>
            </w:pPr>
            <w:r>
              <w:rPr>
                <w:b/>
                <w:bCs/>
                <w:sz w:val="15"/>
                <w:szCs w:val="15"/>
                <w:lang w:val="en-GB"/>
              </w:rPr>
              <w:t>Notes</w:t>
            </w:r>
          </w:p>
        </w:tc>
      </w:tr>
      <w:tr w:rsidTr="00BD4474">
        <w:tblPrEx>
          <w:tblW w:w="10052" w:type="dxa"/>
          <w:tblLook w:val="04A0"/>
        </w:tblPrEx>
        <w:trPr>
          <w:trHeight w:val="1902"/>
        </w:trPr>
        <w:tc>
          <w:tcPr>
            <w:tcW w:w="1277" w:type="dxa"/>
            <w:shd w:val="clear" w:color="auto" w:fill="FFFFFF"/>
            <w:noWrap/>
            <w:hideMark/>
          </w:tcPr>
          <w:p w:rsidR="00C1716D" w:rsidP="00C1716D">
            <w:pPr>
              <w:pStyle w:val="WNormal"/>
              <w:spacing w:before="240"/>
              <w:rPr>
                <w:b/>
                <w:bCs/>
                <w:sz w:val="15"/>
                <w:szCs w:val="15"/>
                <w:lang w:val="en-GB"/>
              </w:rPr>
            </w:pPr>
            <w:r>
              <w:rPr>
                <w:b/>
                <w:bCs/>
                <w:sz w:val="15"/>
                <w:szCs w:val="15"/>
                <w:lang w:val="en-GB"/>
              </w:rPr>
              <w:t>Turnover</w:t>
            </w:r>
          </w:p>
        </w:tc>
        <w:tc>
          <w:tcPr>
            <w:tcW w:w="3673" w:type="dxa"/>
            <w:shd w:val="clear" w:color="auto" w:fill="FFFFFF"/>
            <w:noWrap/>
            <w:hideMark/>
          </w:tcPr>
          <w:p w:rsidR="00C1716D" w:rsidRPr="002A2C6F" w:rsidP="00C1716D">
            <w:pPr>
              <w:pStyle w:val="WNormal"/>
              <w:spacing w:before="240"/>
              <w:rPr>
                <w:sz w:val="15"/>
                <w:szCs w:val="15"/>
                <w:lang w:val="en-GB"/>
              </w:rPr>
            </w:pPr>
            <w:r w:rsidRPr="002A2C6F">
              <w:rPr>
                <w:sz w:val="15"/>
                <w:szCs w:val="15"/>
                <w:lang w:val="en-GB"/>
              </w:rPr>
              <w:t xml:space="preserve">• Energy storage </w:t>
            </w:r>
            <w:r w:rsidRPr="002A2C6F">
              <w:rPr>
                <w:sz w:val="15"/>
                <w:szCs w:val="15"/>
                <w:lang w:val="en-GB"/>
              </w:rPr>
              <w:t>business</w:t>
            </w:r>
          </w:p>
          <w:p w:rsidR="00C1716D" w:rsidRPr="002A2C6F" w:rsidP="00C1716D">
            <w:pPr>
              <w:pStyle w:val="WNormal"/>
              <w:spacing w:before="240"/>
              <w:rPr>
                <w:sz w:val="15"/>
                <w:szCs w:val="15"/>
                <w:lang w:val="en-GB"/>
              </w:rPr>
            </w:pPr>
            <w:r w:rsidRPr="002A2C6F">
              <w:rPr>
                <w:sz w:val="15"/>
                <w:szCs w:val="15"/>
                <w:lang w:val="en-GB"/>
              </w:rPr>
              <w:t>• Biogas solutions</w:t>
            </w:r>
          </w:p>
          <w:p w:rsidR="00C1716D" w:rsidRPr="002A2C6F" w:rsidP="00C1716D">
            <w:pPr>
              <w:pStyle w:val="WNormal"/>
              <w:spacing w:before="240"/>
              <w:rPr>
                <w:sz w:val="15"/>
                <w:szCs w:val="15"/>
                <w:lang w:val="en-GB"/>
              </w:rPr>
            </w:pPr>
            <w:r w:rsidRPr="002A2C6F">
              <w:rPr>
                <w:sz w:val="15"/>
                <w:szCs w:val="15"/>
                <w:lang w:val="en-GB"/>
              </w:rPr>
              <w:t xml:space="preserve">• </w:t>
            </w:r>
            <w:r w:rsidRPr="002A2C6F" w:rsidR="005D7A3D">
              <w:rPr>
                <w:lang w:val="en-GB"/>
              </w:rPr>
              <w:t>D</w:t>
            </w:r>
            <w:r w:rsidRPr="002A2C6F" w:rsidR="005D7A3D">
              <w:rPr>
                <w:sz w:val="15"/>
                <w:szCs w:val="15"/>
                <w:lang w:val="en-GB"/>
              </w:rPr>
              <w:t xml:space="preserve">igital voyage optimisation </w:t>
            </w:r>
            <w:r w:rsidRPr="002A2C6F">
              <w:rPr>
                <w:sz w:val="15"/>
                <w:szCs w:val="15"/>
                <w:lang w:val="en-GB"/>
              </w:rPr>
              <w:t>solutions</w:t>
            </w:r>
          </w:p>
        </w:tc>
        <w:tc>
          <w:tcPr>
            <w:tcW w:w="5102" w:type="dxa"/>
            <w:shd w:val="clear" w:color="auto" w:fill="FFFFFF"/>
            <w:noWrap/>
            <w:hideMark/>
          </w:tcPr>
          <w:p w:rsidR="00C1716D" w:rsidRPr="002A2C6F" w:rsidP="00C1716D">
            <w:pPr>
              <w:pStyle w:val="WNormal"/>
              <w:spacing w:before="240"/>
              <w:rPr>
                <w:sz w:val="15"/>
                <w:szCs w:val="15"/>
                <w:lang w:val="en-GB"/>
              </w:rPr>
            </w:pPr>
            <w:r w:rsidRPr="002A2C6F">
              <w:rPr>
                <w:sz w:val="15"/>
                <w:szCs w:val="15"/>
                <w:lang w:val="en-GB"/>
              </w:rPr>
              <w:t xml:space="preserve">Wärtsilä considers its energy storage business as </w:t>
            </w:r>
            <w:r w:rsidRPr="002A2C6F" w:rsidR="00A560F8">
              <w:rPr>
                <w:sz w:val="15"/>
                <w:szCs w:val="15"/>
                <w:lang w:val="en-GB"/>
              </w:rPr>
              <w:t xml:space="preserve">a </w:t>
            </w:r>
            <w:r w:rsidRPr="002A2C6F">
              <w:rPr>
                <w:sz w:val="15"/>
                <w:szCs w:val="15"/>
                <w:lang w:val="en-GB"/>
              </w:rPr>
              <w:t>Taxonomy eligible economic activity. Wärtsilä energy storage solutions and energy management system</w:t>
            </w:r>
            <w:r w:rsidRPr="002A2C6F" w:rsidR="00A560F8">
              <w:rPr>
                <w:sz w:val="15"/>
                <w:szCs w:val="15"/>
                <w:lang w:val="en-GB"/>
              </w:rPr>
              <w:t>s</w:t>
            </w:r>
            <w:r w:rsidRPr="002A2C6F">
              <w:rPr>
                <w:sz w:val="15"/>
                <w:szCs w:val="15"/>
                <w:lang w:val="en-GB"/>
              </w:rPr>
              <w:t xml:space="preserve"> enable </w:t>
            </w:r>
            <w:r w:rsidRPr="002A2C6F" w:rsidR="00A560F8">
              <w:rPr>
                <w:sz w:val="15"/>
                <w:szCs w:val="15"/>
                <w:lang w:val="en-GB"/>
              </w:rPr>
              <w:t xml:space="preserve">the </w:t>
            </w:r>
            <w:r w:rsidRPr="002A2C6F">
              <w:rPr>
                <w:sz w:val="15"/>
                <w:szCs w:val="15"/>
                <w:lang w:val="en-GB"/>
              </w:rPr>
              <w:t xml:space="preserve">effective storage of </w:t>
            </w:r>
            <w:r w:rsidRPr="002A2C6F">
              <w:rPr>
                <w:sz w:val="15"/>
                <w:szCs w:val="15"/>
                <w:lang w:val="en-GB"/>
              </w:rPr>
              <w:t xml:space="preserve">renewable electricity. Wärtsilä biogas solutions are considered to be eligible through </w:t>
            </w:r>
            <w:r w:rsidRPr="002A2C6F" w:rsidR="00A560F8">
              <w:rPr>
                <w:sz w:val="15"/>
                <w:szCs w:val="15"/>
                <w:lang w:val="en-GB"/>
              </w:rPr>
              <w:t xml:space="preserve">the </w:t>
            </w:r>
            <w:r w:rsidRPr="002A2C6F" w:rsidR="005D7A3D">
              <w:rPr>
                <w:sz w:val="15"/>
                <w:szCs w:val="15"/>
                <w:lang w:val="en-GB"/>
              </w:rPr>
              <w:t>“</w:t>
            </w:r>
            <w:r w:rsidRPr="002A2C6F">
              <w:rPr>
                <w:sz w:val="15"/>
                <w:szCs w:val="15"/>
                <w:lang w:val="en-GB"/>
              </w:rPr>
              <w:t>manufacturing of other low carbon technologies</w:t>
            </w:r>
            <w:r w:rsidRPr="002A2C6F" w:rsidR="005D7A3D">
              <w:rPr>
                <w:sz w:val="15"/>
                <w:szCs w:val="15"/>
                <w:lang w:val="en-GB"/>
              </w:rPr>
              <w:t>” category</w:t>
            </w:r>
            <w:r w:rsidRPr="002A2C6F">
              <w:rPr>
                <w:sz w:val="15"/>
                <w:szCs w:val="15"/>
                <w:lang w:val="en-GB"/>
              </w:rPr>
              <w:t xml:space="preserve">. </w:t>
            </w:r>
            <w:r w:rsidRPr="002A2C6F" w:rsidR="005D7A3D">
              <w:rPr>
                <w:sz w:val="15"/>
                <w:szCs w:val="15"/>
                <w:lang w:val="en-GB"/>
              </w:rPr>
              <w:t xml:space="preserve">Digital voyage optimisation </w:t>
            </w:r>
            <w:r w:rsidRPr="002A2C6F">
              <w:rPr>
                <w:sz w:val="15"/>
                <w:szCs w:val="15"/>
                <w:lang w:val="en-GB"/>
              </w:rPr>
              <w:t xml:space="preserve">solutions are considered to be eligible through </w:t>
            </w:r>
            <w:r w:rsidRPr="002A2C6F" w:rsidR="00EA56A0">
              <w:rPr>
                <w:sz w:val="15"/>
                <w:szCs w:val="15"/>
                <w:lang w:val="en-GB"/>
              </w:rPr>
              <w:t xml:space="preserve">the </w:t>
            </w:r>
            <w:r w:rsidRPr="002A2C6F" w:rsidR="005D7A3D">
              <w:rPr>
                <w:sz w:val="15"/>
                <w:szCs w:val="15"/>
                <w:lang w:val="en-GB"/>
              </w:rPr>
              <w:t>“</w:t>
            </w:r>
            <w:r w:rsidRPr="002A2C6F">
              <w:rPr>
                <w:sz w:val="15"/>
                <w:szCs w:val="15"/>
                <w:lang w:val="en-GB"/>
              </w:rPr>
              <w:t>data driven solutions for</w:t>
            </w:r>
            <w:r w:rsidRPr="002A2C6F">
              <w:rPr>
                <w:sz w:val="15"/>
                <w:szCs w:val="15"/>
                <w:lang w:val="en-GB"/>
              </w:rPr>
              <w:t xml:space="preserve"> GHG reduction</w:t>
            </w:r>
            <w:r w:rsidRPr="002A2C6F" w:rsidR="005D7A3D">
              <w:rPr>
                <w:sz w:val="15"/>
                <w:szCs w:val="15"/>
                <w:lang w:val="en-GB"/>
              </w:rPr>
              <w:t>”</w:t>
            </w:r>
            <w:r w:rsidRPr="002A2C6F">
              <w:rPr>
                <w:sz w:val="15"/>
                <w:szCs w:val="15"/>
                <w:lang w:val="en-GB"/>
              </w:rPr>
              <w:t xml:space="preserve"> category. Wärtsilä did not consider any multifuel engine solutions </w:t>
            </w:r>
            <w:r w:rsidRPr="002A2C6F" w:rsidR="00EA56A0">
              <w:rPr>
                <w:sz w:val="15"/>
                <w:szCs w:val="15"/>
                <w:lang w:val="en-GB"/>
              </w:rPr>
              <w:t xml:space="preserve">to be </w:t>
            </w:r>
            <w:r w:rsidRPr="002A2C6F">
              <w:rPr>
                <w:sz w:val="15"/>
                <w:szCs w:val="15"/>
                <w:lang w:val="en-GB"/>
              </w:rPr>
              <w:t>eligible at this point.</w:t>
            </w:r>
          </w:p>
        </w:tc>
      </w:tr>
      <w:tr w:rsidTr="00BD4474">
        <w:tblPrEx>
          <w:tblW w:w="10052" w:type="dxa"/>
          <w:tblLook w:val="04A0"/>
        </w:tblPrEx>
        <w:trPr>
          <w:trHeight w:val="1272"/>
        </w:trPr>
        <w:tc>
          <w:tcPr>
            <w:tcW w:w="1277" w:type="dxa"/>
            <w:tcBorders>
              <w:top w:val="single" w:sz="4" w:space="0" w:color="004B6B"/>
              <w:left w:val="nil"/>
              <w:bottom w:val="single" w:sz="4" w:space="0" w:color="004B6B"/>
              <w:right w:val="nil"/>
            </w:tcBorders>
            <w:shd w:val="clear" w:color="auto" w:fill="FFFFFF"/>
            <w:noWrap/>
            <w:hideMark/>
          </w:tcPr>
          <w:p w:rsidR="00C1716D" w:rsidP="00C1716D">
            <w:pPr>
              <w:pStyle w:val="WNormal"/>
              <w:spacing w:before="240"/>
              <w:rPr>
                <w:b/>
                <w:bCs/>
                <w:sz w:val="15"/>
                <w:szCs w:val="15"/>
                <w:lang w:val="en-GB"/>
              </w:rPr>
            </w:pPr>
            <w:r>
              <w:rPr>
                <w:b/>
                <w:bCs/>
                <w:sz w:val="15"/>
                <w:szCs w:val="15"/>
                <w:lang w:val="en-GB"/>
              </w:rPr>
              <w:t>CapEx</w:t>
            </w:r>
          </w:p>
        </w:tc>
        <w:tc>
          <w:tcPr>
            <w:tcW w:w="3673" w:type="dxa"/>
            <w:tcBorders>
              <w:top w:val="single" w:sz="4" w:space="0" w:color="004B6B"/>
              <w:left w:val="nil"/>
              <w:bottom w:val="single" w:sz="4" w:space="0" w:color="004B6B"/>
              <w:right w:val="nil"/>
            </w:tcBorders>
            <w:shd w:val="clear" w:color="auto" w:fill="FFFFFF"/>
            <w:noWrap/>
            <w:hideMark/>
          </w:tcPr>
          <w:p w:rsidR="00C1716D" w:rsidP="00C1716D">
            <w:pPr>
              <w:pStyle w:val="WNormal"/>
              <w:spacing w:before="240"/>
              <w:rPr>
                <w:sz w:val="15"/>
                <w:szCs w:val="15"/>
                <w:lang w:val="en-GB"/>
              </w:rPr>
            </w:pPr>
            <w:r>
              <w:rPr>
                <w:sz w:val="15"/>
                <w:szCs w:val="15"/>
                <w:lang w:val="en-GB"/>
              </w:rPr>
              <w:t xml:space="preserve">• New </w:t>
            </w:r>
            <w:r w:rsidR="001945EB">
              <w:rPr>
                <w:sz w:val="15"/>
                <w:szCs w:val="15"/>
                <w:lang w:val="en-GB"/>
              </w:rPr>
              <w:t>b</w:t>
            </w:r>
            <w:r>
              <w:rPr>
                <w:sz w:val="15"/>
                <w:szCs w:val="15"/>
                <w:lang w:val="en-GB"/>
              </w:rPr>
              <w:t>uildings (lease)</w:t>
            </w:r>
          </w:p>
          <w:p w:rsidR="00C1716D" w:rsidP="00C1716D">
            <w:pPr>
              <w:pStyle w:val="WNormal"/>
              <w:spacing w:before="240"/>
              <w:rPr>
                <w:sz w:val="15"/>
                <w:szCs w:val="15"/>
                <w:lang w:val="en-GB"/>
              </w:rPr>
            </w:pPr>
            <w:r>
              <w:rPr>
                <w:sz w:val="15"/>
                <w:szCs w:val="15"/>
                <w:lang w:val="en-GB"/>
              </w:rPr>
              <w:t>• Passenger cars and light commercial vehicles</w:t>
            </w:r>
          </w:p>
          <w:p w:rsidR="001945EB" w:rsidP="00C1716D">
            <w:pPr>
              <w:pStyle w:val="WNormal"/>
              <w:spacing w:before="240"/>
              <w:rPr>
                <w:sz w:val="15"/>
                <w:szCs w:val="15"/>
                <w:lang w:val="en-GB"/>
              </w:rPr>
            </w:pPr>
            <w:r w:rsidRPr="001945EB">
              <w:rPr>
                <w:sz w:val="15"/>
                <w:szCs w:val="15"/>
                <w:lang w:val="en-GB"/>
              </w:rPr>
              <w:t>•</w:t>
            </w:r>
            <w:r>
              <w:rPr>
                <w:sz w:val="15"/>
                <w:szCs w:val="15"/>
                <w:lang w:val="en-GB"/>
              </w:rPr>
              <w:t xml:space="preserve"> </w:t>
            </w:r>
            <w:r w:rsidRPr="001945EB">
              <w:rPr>
                <w:sz w:val="15"/>
                <w:szCs w:val="15"/>
                <w:lang w:val="en-GB"/>
              </w:rPr>
              <w:t>Capitali</w:t>
            </w:r>
            <w:r>
              <w:rPr>
                <w:sz w:val="15"/>
                <w:szCs w:val="15"/>
                <w:lang w:val="en-GB"/>
              </w:rPr>
              <w:t>s</w:t>
            </w:r>
            <w:r w:rsidRPr="001945EB">
              <w:rPr>
                <w:sz w:val="15"/>
                <w:szCs w:val="15"/>
                <w:lang w:val="en-GB"/>
              </w:rPr>
              <w:t>ed R&amp;D costs related to voyage optimi</w:t>
            </w:r>
            <w:r>
              <w:rPr>
                <w:sz w:val="15"/>
                <w:szCs w:val="15"/>
                <w:lang w:val="en-GB"/>
              </w:rPr>
              <w:t>s</w:t>
            </w:r>
            <w:r w:rsidRPr="001945EB">
              <w:rPr>
                <w:sz w:val="15"/>
                <w:szCs w:val="15"/>
                <w:lang w:val="en-GB"/>
              </w:rPr>
              <w:t>ation</w:t>
            </w:r>
          </w:p>
        </w:tc>
        <w:tc>
          <w:tcPr>
            <w:tcW w:w="5102" w:type="dxa"/>
            <w:tcBorders>
              <w:top w:val="single" w:sz="4" w:space="0" w:color="004B6B"/>
              <w:left w:val="nil"/>
              <w:bottom w:val="single" w:sz="4" w:space="0" w:color="004B6B"/>
              <w:right w:val="nil"/>
            </w:tcBorders>
            <w:shd w:val="clear" w:color="auto" w:fill="FFFFFF"/>
            <w:noWrap/>
            <w:hideMark/>
          </w:tcPr>
          <w:p w:rsidR="00C1716D" w:rsidP="00C1716D">
            <w:pPr>
              <w:pStyle w:val="WNormal"/>
              <w:spacing w:before="240"/>
              <w:rPr>
                <w:sz w:val="15"/>
                <w:szCs w:val="15"/>
                <w:lang w:val="en-GB"/>
              </w:rPr>
            </w:pPr>
            <w:r w:rsidRPr="001945EB">
              <w:rPr>
                <w:sz w:val="15"/>
                <w:szCs w:val="15"/>
                <w:lang w:val="en-GB"/>
              </w:rPr>
              <w:t xml:space="preserve">Any capex for a new building or a new vehicle is eligible. With respect </w:t>
            </w:r>
            <w:r w:rsidR="00EA56A0">
              <w:rPr>
                <w:sz w:val="15"/>
                <w:szCs w:val="15"/>
                <w:lang w:val="en-GB"/>
              </w:rPr>
              <w:t xml:space="preserve">to </w:t>
            </w:r>
            <w:r w:rsidRPr="001945EB">
              <w:rPr>
                <w:sz w:val="15"/>
                <w:szCs w:val="15"/>
                <w:lang w:val="en-GB"/>
              </w:rPr>
              <w:t>the capitalised R&amp;D</w:t>
            </w:r>
            <w:r w:rsidR="00EA56A0">
              <w:rPr>
                <w:sz w:val="15"/>
                <w:szCs w:val="15"/>
                <w:lang w:val="en-GB"/>
              </w:rPr>
              <w:t>,</w:t>
            </w:r>
            <w:r w:rsidRPr="001945EB">
              <w:rPr>
                <w:sz w:val="15"/>
                <w:szCs w:val="15"/>
                <w:lang w:val="en-GB"/>
              </w:rPr>
              <w:t xml:space="preserve"> eligibility follows the same logic </w:t>
            </w:r>
            <w:r w:rsidR="00EA56A0">
              <w:rPr>
                <w:sz w:val="15"/>
                <w:szCs w:val="15"/>
                <w:lang w:val="en-GB"/>
              </w:rPr>
              <w:t xml:space="preserve">as </w:t>
            </w:r>
            <w:r w:rsidRPr="001945EB">
              <w:rPr>
                <w:sz w:val="15"/>
                <w:szCs w:val="15"/>
                <w:lang w:val="en-GB"/>
              </w:rPr>
              <w:t>with the identified turnover KPI eligible activities. No CapEx related to taxonomy eligible manufacturing was identified.</w:t>
            </w:r>
          </w:p>
        </w:tc>
      </w:tr>
      <w:tr w:rsidTr="00BD4474">
        <w:tblPrEx>
          <w:tblW w:w="10052" w:type="dxa"/>
          <w:tblLook w:val="04A0"/>
        </w:tblPrEx>
        <w:trPr>
          <w:trHeight w:val="1547"/>
        </w:trPr>
        <w:tc>
          <w:tcPr>
            <w:tcW w:w="1277" w:type="dxa"/>
            <w:tcBorders>
              <w:top w:val="single" w:sz="4" w:space="0" w:color="004B6B"/>
              <w:left w:val="nil"/>
              <w:bottom w:val="single" w:sz="4" w:space="0" w:color="004B6B"/>
              <w:right w:val="nil"/>
            </w:tcBorders>
            <w:shd w:val="clear" w:color="auto" w:fill="FFFFFF"/>
            <w:noWrap/>
            <w:hideMark/>
          </w:tcPr>
          <w:p w:rsidR="00C1716D" w:rsidP="00C1716D">
            <w:pPr>
              <w:pStyle w:val="WNormal"/>
              <w:spacing w:before="240"/>
              <w:rPr>
                <w:b/>
                <w:bCs/>
                <w:sz w:val="15"/>
                <w:szCs w:val="15"/>
                <w:lang w:val="en-GB"/>
              </w:rPr>
            </w:pPr>
            <w:r>
              <w:rPr>
                <w:b/>
                <w:bCs/>
                <w:sz w:val="15"/>
                <w:szCs w:val="15"/>
                <w:lang w:val="en-GB"/>
              </w:rPr>
              <w:t>OpEx</w:t>
            </w:r>
          </w:p>
        </w:tc>
        <w:tc>
          <w:tcPr>
            <w:tcW w:w="3673" w:type="dxa"/>
            <w:tcBorders>
              <w:top w:val="single" w:sz="4" w:space="0" w:color="004B6B"/>
              <w:left w:val="nil"/>
              <w:bottom w:val="single" w:sz="4" w:space="0" w:color="004B6B"/>
              <w:right w:val="nil"/>
            </w:tcBorders>
            <w:shd w:val="clear" w:color="auto" w:fill="FFFFFF"/>
            <w:noWrap/>
            <w:hideMark/>
          </w:tcPr>
          <w:p w:rsidR="00C1716D" w:rsidP="00C1716D">
            <w:pPr>
              <w:pStyle w:val="WNormal"/>
              <w:spacing w:before="240"/>
              <w:rPr>
                <w:sz w:val="15"/>
                <w:szCs w:val="15"/>
                <w:lang w:val="en-GB"/>
              </w:rPr>
            </w:pPr>
            <w:r>
              <w:rPr>
                <w:sz w:val="15"/>
                <w:szCs w:val="15"/>
                <w:lang w:val="en-GB"/>
              </w:rPr>
              <w:t>• Non</w:t>
            </w:r>
            <w:r w:rsidR="001945EB">
              <w:rPr>
                <w:sz w:val="15"/>
                <w:szCs w:val="15"/>
                <w:lang w:val="en-GB"/>
              </w:rPr>
              <w:t>-</w:t>
            </w:r>
            <w:r>
              <w:rPr>
                <w:sz w:val="15"/>
                <w:szCs w:val="15"/>
                <w:lang w:val="en-GB"/>
              </w:rPr>
              <w:t>capitalised R&amp;D costs related to future fuels</w:t>
            </w:r>
          </w:p>
          <w:p w:rsidR="00C1716D" w:rsidP="00C1716D">
            <w:pPr>
              <w:pStyle w:val="WNormal"/>
              <w:spacing w:before="240"/>
              <w:rPr>
                <w:sz w:val="15"/>
                <w:szCs w:val="15"/>
                <w:lang w:val="en-GB"/>
              </w:rPr>
            </w:pPr>
            <w:r>
              <w:rPr>
                <w:sz w:val="15"/>
                <w:szCs w:val="15"/>
                <w:lang w:val="en-GB"/>
              </w:rPr>
              <w:t>• Non</w:t>
            </w:r>
            <w:r w:rsidR="001945EB">
              <w:rPr>
                <w:sz w:val="15"/>
                <w:szCs w:val="15"/>
                <w:lang w:val="en-GB"/>
              </w:rPr>
              <w:t>-</w:t>
            </w:r>
            <w:r>
              <w:rPr>
                <w:sz w:val="15"/>
                <w:szCs w:val="15"/>
                <w:lang w:val="en-GB"/>
              </w:rPr>
              <w:t>capitalised R&amp;D costs related to data solutions</w:t>
            </w:r>
          </w:p>
        </w:tc>
        <w:tc>
          <w:tcPr>
            <w:tcW w:w="5102" w:type="dxa"/>
            <w:tcBorders>
              <w:top w:val="single" w:sz="4" w:space="0" w:color="004B6B"/>
              <w:left w:val="nil"/>
              <w:bottom w:val="single" w:sz="4" w:space="0" w:color="004B6B"/>
              <w:right w:val="nil"/>
            </w:tcBorders>
            <w:shd w:val="clear" w:color="auto" w:fill="FFFFFF"/>
            <w:noWrap/>
            <w:hideMark/>
          </w:tcPr>
          <w:p w:rsidR="00C1716D" w:rsidP="00C1716D">
            <w:pPr>
              <w:pStyle w:val="WNormal"/>
              <w:spacing w:before="240"/>
              <w:rPr>
                <w:sz w:val="15"/>
                <w:szCs w:val="15"/>
                <w:lang w:val="en-GB"/>
              </w:rPr>
            </w:pPr>
            <w:r w:rsidRPr="00C223A2">
              <w:rPr>
                <w:sz w:val="15"/>
                <w:szCs w:val="15"/>
                <w:lang w:val="en-GB"/>
              </w:rPr>
              <w:t xml:space="preserve">With respect </w:t>
            </w:r>
            <w:r w:rsidR="00EA56A0">
              <w:rPr>
                <w:sz w:val="15"/>
                <w:szCs w:val="15"/>
                <w:lang w:val="en-GB"/>
              </w:rPr>
              <w:t xml:space="preserve">to </w:t>
            </w:r>
            <w:r w:rsidRPr="00C223A2">
              <w:rPr>
                <w:sz w:val="15"/>
                <w:szCs w:val="15"/>
                <w:lang w:val="en-GB"/>
              </w:rPr>
              <w:t>the non-capitalised R&amp;D</w:t>
            </w:r>
            <w:r w:rsidR="00EA56A0">
              <w:rPr>
                <w:sz w:val="15"/>
                <w:szCs w:val="15"/>
                <w:lang w:val="en-GB"/>
              </w:rPr>
              <w:t>,</w:t>
            </w:r>
            <w:r w:rsidRPr="00C223A2">
              <w:rPr>
                <w:sz w:val="15"/>
                <w:szCs w:val="15"/>
                <w:lang w:val="en-GB"/>
              </w:rPr>
              <w:t xml:space="preserve"> eligibility follows the same logic </w:t>
            </w:r>
            <w:r w:rsidR="00EA56A0">
              <w:rPr>
                <w:sz w:val="15"/>
                <w:szCs w:val="15"/>
                <w:lang w:val="en-GB"/>
              </w:rPr>
              <w:t xml:space="preserve">as </w:t>
            </w:r>
            <w:r w:rsidRPr="00C223A2">
              <w:rPr>
                <w:sz w:val="15"/>
                <w:szCs w:val="15"/>
                <w:lang w:val="en-GB"/>
              </w:rPr>
              <w:t>with the identified turnover KPI eligible activities. However, Op</w:t>
            </w:r>
            <w:r w:rsidRPr="00C223A2">
              <w:rPr>
                <w:sz w:val="15"/>
                <w:szCs w:val="15"/>
                <w:lang w:val="en-GB"/>
              </w:rPr>
              <w:t>Ex related to non-capitalised R&amp;D for our engines’ capability to run on future green and zero</w:t>
            </w:r>
            <w:r>
              <w:rPr>
                <w:sz w:val="15"/>
                <w:szCs w:val="15"/>
                <w:lang w:val="en-GB"/>
              </w:rPr>
              <w:t>-</w:t>
            </w:r>
            <w:r w:rsidRPr="00C223A2">
              <w:rPr>
                <w:sz w:val="15"/>
                <w:szCs w:val="15"/>
                <w:lang w:val="en-GB"/>
              </w:rPr>
              <w:t>carbon fuels was considered eligible because these fuels enable our customers to generate electricity from renewable non-fossil gaseous and liquid fuels in the fu</w:t>
            </w:r>
            <w:r w:rsidRPr="00C223A2">
              <w:rPr>
                <w:sz w:val="15"/>
                <w:szCs w:val="15"/>
                <w:lang w:val="en-GB"/>
              </w:rPr>
              <w:t>ture. No OpEx related to taxonomy eligible manufacturing was identified.</w:t>
            </w:r>
          </w:p>
        </w:tc>
      </w:tr>
    </w:tbl>
    <w:p w:rsidR="009B6868" w:rsidRPr="00A714A1" w:rsidP="00A71288">
      <w:pPr>
        <w:pStyle w:val="WNormal"/>
        <w:rPr>
          <w:lang w:val="en-GB"/>
        </w:rPr>
      </w:pPr>
      <w:bookmarkEnd w:id="19"/>
      <w:r>
        <w:rPr>
          <w:noProof/>
        </w:rPr>
        <mc:AlternateContent>
          <mc:Choice Requires="wps">
            <w:drawing>
              <wp:anchor distT="0" distB="0" distL="114300" distR="114300" simplePos="0" relativeHeight="251663360" behindDoc="0" locked="0" layoutInCell="1" allowOverlap="1">
                <wp:simplePos x="0" y="0"/>
                <wp:positionH relativeFrom="margin">
                  <wp:align>right</wp:align>
                </wp:positionH>
                <wp:positionV relativeFrom="margin">
                  <wp:align>top</wp:align>
                </wp:positionV>
                <wp:extent cx="6156960" cy="3299460"/>
                <wp:effectExtent l="0" t="0" r="0" b="0"/>
                <wp:wrapNone/>
                <wp:docPr id="3" name="Rectangle 3"/>
                <wp:cNvGraphicFramePr/>
                <a:graphic xmlns:a="http://schemas.openxmlformats.org/drawingml/2006/main">
                  <a:graphicData uri="http://schemas.microsoft.com/office/word/2010/wordprocessingShape">
                    <wps:wsp xmlns:wps="http://schemas.microsoft.com/office/word/2010/wordprocessingShape">
                      <wps:cNvSpPr/>
                      <wps:spPr>
                        <a:xfrm>
                          <a:off x="0" y="0"/>
                          <a:ext cx="6156960" cy="3299460"/>
                        </a:xfrm>
                        <a:prstGeom prst="rect">
                          <a:avLst/>
                        </a:prstGeom>
                        <a:noFill/>
                        <a:ln w="12700">
                          <a:noFill/>
                          <a:miter lim="800000"/>
                        </a:ln>
                        <a:effectLst/>
                      </wps:spPr>
                      <wps:bodyPr rot="0" spcFirstLastPara="0" vertOverflow="clip" horzOverflow="clip" vert="horz" wrap="square" numCol="1" spcCol="0" rtlCol="0" fromWordArt="0" anchor="ctr"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rect id="Rectangle 3" o:spid="_x0000_s1030" style="width:484.8pt;height:259.8pt;margin-top:0;margin-left:0;mso-height-percent:0;mso-height-relative:margin;mso-position-horizontal:right;mso-position-horizontal-relative:margin;mso-position-vertical:top;mso-position-vertical-relative:margin;mso-width-percent:0;mso-width-relative:margin;mso-wrap-distance-bottom:0;mso-wrap-distance-left:9pt;mso-wrap-distance-right:9pt;mso-wrap-distance-top:0;position:absolute;v-text-anchor:middle;z-index:251662336" filled="f" fillcolor="this" stroked="f" strokeweight="1pt">
                <w10:wrap anchorx="margin" anchory="margin"/>
              </v:rect>
            </w:pict>
          </mc:Fallback>
        </mc:AlternateContent>
      </w:r>
      <w:r>
        <w:t xml:space="preserve"> </w:t>
      </w:r>
    </w:p>
    <w:p w:rsidR="00F66F00" w:rsidRPr="00AB2513" w:rsidP="0033218B" w14:paraId="6A6B2C8D" w14:textId="4F7BA92A">
      <w:pPr>
        <w:pStyle w:val="WHeading3"/>
      </w:pPr>
      <w:bookmarkStart w:id="20" w:name="RG_MARKER_7291"/>
      <w:r w:rsidRPr="00AB2513">
        <w:t>Reporting segments</w:t>
      </w:r>
      <w:bookmarkEnd w:id="20"/>
    </w:p>
    <w:p w:rsidR="00F66F00" w:rsidRPr="00B0674F" w:rsidP="0033218B" w14:paraId="5F661E9B" w14:textId="18164FAD">
      <w:pPr>
        <w:pStyle w:val="WHeading40"/>
      </w:pPr>
      <w:r w:rsidRPr="00B0674F">
        <w:t>Wärtsilä Marine Power</w:t>
      </w:r>
    </w:p>
    <w:p w:rsidR="00AF6566" w:rsidRPr="004903E7" w:rsidP="007F6711" w14:paraId="2C682C7E" w14:textId="00175EAA">
      <w:pPr>
        <w:pStyle w:val="WNormal"/>
        <w:rPr>
          <w:lang w:val="en-GB"/>
        </w:rPr>
      </w:pPr>
      <w:r w:rsidRPr="004903E7">
        <w:rPr>
          <w:lang w:val="en-GB"/>
        </w:rPr>
        <w:t xml:space="preserve">Marine Power’s order intake in </w:t>
      </w:r>
      <w:r w:rsidRPr="004903E7">
        <w:rPr>
          <w:lang w:val="en-GB"/>
        </w:rPr>
        <w:t>2021</w:t>
      </w:r>
      <w:r w:rsidRPr="004903E7">
        <w:rPr>
          <w:lang w:val="en-GB"/>
        </w:rPr>
        <w:t xml:space="preserve"> </w:t>
      </w:r>
      <w:r w:rsidRPr="004903E7">
        <w:rPr>
          <w:lang w:val="en-GB"/>
        </w:rPr>
        <w:t>increased by 16% to</w:t>
      </w:r>
      <w:r w:rsidRPr="004903E7">
        <w:rPr>
          <w:lang w:val="en-GB"/>
        </w:rPr>
        <w:t xml:space="preserve"> EUR </w:t>
      </w:r>
      <w:r w:rsidRPr="004903E7">
        <w:rPr>
          <w:lang w:val="en-GB"/>
        </w:rPr>
        <w:t>2,011</w:t>
      </w:r>
      <w:r w:rsidRPr="004903E7">
        <w:rPr>
          <w:lang w:val="en-GB"/>
        </w:rPr>
        <w:t xml:space="preserve"> million (</w:t>
      </w:r>
      <w:r w:rsidRPr="004903E7">
        <w:rPr>
          <w:lang w:val="en-GB"/>
        </w:rPr>
        <w:t>1,737</w:t>
      </w:r>
      <w:r w:rsidRPr="004903E7">
        <w:rPr>
          <w:lang w:val="en-GB"/>
        </w:rPr>
        <w:t xml:space="preserve">) compared to the previous year. Book-to-bill was </w:t>
      </w:r>
      <w:r w:rsidRPr="004903E7">
        <w:rPr>
          <w:lang w:val="en-GB"/>
        </w:rPr>
        <w:t>1.08</w:t>
      </w:r>
      <w:r w:rsidRPr="004903E7">
        <w:rPr>
          <w:lang w:val="en-GB"/>
        </w:rPr>
        <w:t xml:space="preserve"> (</w:t>
      </w:r>
      <w:r w:rsidRPr="004903E7">
        <w:rPr>
          <w:lang w:val="en-GB"/>
        </w:rPr>
        <w:t>0.99</w:t>
      </w:r>
      <w:r w:rsidRPr="004903E7">
        <w:rPr>
          <w:lang w:val="en-GB"/>
        </w:rPr>
        <w:t>)</w:t>
      </w:r>
      <w:r w:rsidRPr="004903E7">
        <w:rPr>
          <w:lang w:val="en-GB"/>
        </w:rPr>
        <w:t xml:space="preserve">. Service order intake </w:t>
      </w:r>
      <w:r w:rsidRPr="004903E7">
        <w:rPr>
          <w:lang w:val="en-GB"/>
        </w:rPr>
        <w:t>increased by 22% to</w:t>
      </w:r>
      <w:r w:rsidRPr="004903E7">
        <w:rPr>
          <w:lang w:val="en-GB"/>
        </w:rPr>
        <w:t xml:space="preserve"> EUR </w:t>
      </w:r>
      <w:r w:rsidRPr="004903E7">
        <w:rPr>
          <w:lang w:val="en-GB"/>
        </w:rPr>
        <w:t>1,305</w:t>
      </w:r>
      <w:r w:rsidRPr="004903E7">
        <w:rPr>
          <w:lang w:val="en-GB"/>
        </w:rPr>
        <w:t xml:space="preserve"> million (</w:t>
      </w:r>
      <w:r w:rsidRPr="004903E7">
        <w:rPr>
          <w:lang w:val="en-GB"/>
        </w:rPr>
        <w:t>1,070</w:t>
      </w:r>
      <w:r w:rsidRPr="004903E7">
        <w:rPr>
          <w:lang w:val="en-GB"/>
        </w:rPr>
        <w:t>)</w:t>
      </w:r>
      <w:r w:rsidRPr="004903E7" w:rsidR="00792620">
        <w:rPr>
          <w:lang w:val="en-GB"/>
        </w:rPr>
        <w:t xml:space="preserve">. </w:t>
      </w:r>
      <w:r w:rsidRPr="004903E7" w:rsidR="00576049">
        <w:rPr>
          <w:lang w:val="en-GB"/>
        </w:rPr>
        <w:t xml:space="preserve">Equipment </w:t>
      </w:r>
      <w:r w:rsidRPr="004903E7">
        <w:rPr>
          <w:lang w:val="en-GB"/>
        </w:rPr>
        <w:t xml:space="preserve">order intake </w:t>
      </w:r>
      <w:r w:rsidRPr="004903E7">
        <w:rPr>
          <w:lang w:val="en-GB"/>
        </w:rPr>
        <w:t>increased by 6% to</w:t>
      </w:r>
      <w:r w:rsidRPr="004903E7">
        <w:rPr>
          <w:lang w:val="en-GB"/>
        </w:rPr>
        <w:t xml:space="preserve"> EUR </w:t>
      </w:r>
      <w:r w:rsidRPr="004903E7">
        <w:rPr>
          <w:lang w:val="en-GB"/>
        </w:rPr>
        <w:t>706</w:t>
      </w:r>
      <w:r w:rsidRPr="004903E7">
        <w:rPr>
          <w:lang w:val="en-GB"/>
        </w:rPr>
        <w:t xml:space="preserve"> million (</w:t>
      </w:r>
      <w:r w:rsidRPr="004903E7">
        <w:rPr>
          <w:lang w:val="en-GB"/>
        </w:rPr>
        <w:t>667</w:t>
      </w:r>
      <w:r w:rsidRPr="004903E7">
        <w:rPr>
          <w:lang w:val="en-GB"/>
        </w:rPr>
        <w:t xml:space="preserve">). </w:t>
      </w:r>
      <w:r w:rsidRPr="004903E7" w:rsidR="00792620">
        <w:rPr>
          <w:lang w:val="en-GB"/>
        </w:rPr>
        <w:t xml:space="preserve">The key segments that contributed to equipment order intake were merchant at 40%, cruise at 12%, ferry at 11%, and special vessels at 16%. The market conditions and price competition remained challenging. </w:t>
      </w:r>
      <w:r w:rsidRPr="004903E7">
        <w:rPr>
          <w:lang w:val="en-GB"/>
        </w:rPr>
        <w:t xml:space="preserve">The order book at the end of the year </w:t>
      </w:r>
      <w:r w:rsidRPr="004903E7">
        <w:rPr>
          <w:lang w:val="en-GB"/>
        </w:rPr>
        <w:t>increased by 8% to</w:t>
      </w:r>
      <w:r w:rsidRPr="004903E7">
        <w:rPr>
          <w:lang w:val="en-GB"/>
        </w:rPr>
        <w:t xml:space="preserve"> EUR </w:t>
      </w:r>
      <w:r w:rsidRPr="004903E7">
        <w:rPr>
          <w:lang w:val="en-GB"/>
        </w:rPr>
        <w:t>1,994</w:t>
      </w:r>
      <w:r w:rsidRPr="004903E7">
        <w:rPr>
          <w:lang w:val="en-GB"/>
        </w:rPr>
        <w:t xml:space="preserve"> million (</w:t>
      </w:r>
      <w:r w:rsidRPr="004903E7">
        <w:rPr>
          <w:lang w:val="en-GB"/>
        </w:rPr>
        <w:t>1,839</w:t>
      </w:r>
      <w:r w:rsidRPr="004903E7">
        <w:rPr>
          <w:lang w:val="en-GB"/>
        </w:rPr>
        <w:t>).</w:t>
      </w:r>
      <w:r w:rsidRPr="004903E7">
        <w:rPr>
          <w:lang w:val="en-GB"/>
        </w:rPr>
        <w:br/>
      </w:r>
      <w:r w:rsidRPr="004903E7">
        <w:rPr>
          <w:lang w:val="en-GB"/>
        </w:rPr>
        <w:br/>
        <w:t xml:space="preserve">Net sales </w:t>
      </w:r>
      <w:r w:rsidRPr="004903E7">
        <w:rPr>
          <w:lang w:val="en-GB"/>
        </w:rPr>
        <w:t>increased by 7% to</w:t>
      </w:r>
      <w:r w:rsidRPr="004903E7">
        <w:rPr>
          <w:lang w:val="en-GB"/>
        </w:rPr>
        <w:t xml:space="preserve"> EUR </w:t>
      </w:r>
      <w:r w:rsidRPr="004903E7">
        <w:rPr>
          <w:lang w:val="en-GB"/>
        </w:rPr>
        <w:t>1,863</w:t>
      </w:r>
      <w:r w:rsidRPr="004903E7">
        <w:rPr>
          <w:lang w:val="en-GB"/>
        </w:rPr>
        <w:t xml:space="preserve"> million (</w:t>
      </w:r>
      <w:r w:rsidRPr="004903E7">
        <w:rPr>
          <w:lang w:val="en-GB"/>
        </w:rPr>
        <w:t>1,748</w:t>
      </w:r>
      <w:r w:rsidRPr="004903E7">
        <w:rPr>
          <w:lang w:val="en-GB"/>
        </w:rPr>
        <w:t xml:space="preserve">) compared to the previous year. Service net sales </w:t>
      </w:r>
      <w:r w:rsidRPr="004903E7">
        <w:rPr>
          <w:lang w:val="en-GB"/>
        </w:rPr>
        <w:t>increased by 12% to</w:t>
      </w:r>
      <w:r w:rsidRPr="004903E7">
        <w:rPr>
          <w:lang w:val="en-GB"/>
        </w:rPr>
        <w:t xml:space="preserve"> EUR </w:t>
      </w:r>
      <w:r w:rsidRPr="004903E7">
        <w:rPr>
          <w:lang w:val="en-GB"/>
        </w:rPr>
        <w:t>1,226</w:t>
      </w:r>
      <w:r w:rsidRPr="004903E7">
        <w:rPr>
          <w:lang w:val="en-GB"/>
        </w:rPr>
        <w:t xml:space="preserve"> million (</w:t>
      </w:r>
      <w:r w:rsidRPr="004903E7">
        <w:rPr>
          <w:lang w:val="en-GB"/>
        </w:rPr>
        <w:t>1,096</w:t>
      </w:r>
      <w:r w:rsidRPr="004903E7">
        <w:rPr>
          <w:lang w:val="en-GB"/>
        </w:rPr>
        <w:t>)</w:t>
      </w:r>
      <w:r w:rsidRPr="004903E7" w:rsidR="00B90EE0">
        <w:rPr>
          <w:lang w:val="en-GB"/>
        </w:rPr>
        <w:t xml:space="preserve">, </w:t>
      </w:r>
      <w:r w:rsidRPr="004903E7" w:rsidR="00B90EE0">
        <w:rPr>
          <w:rFonts w:eastAsia="Times New Roman"/>
          <w:lang w:val="en-GB"/>
        </w:rPr>
        <w:t xml:space="preserve">reflecting the </w:t>
      </w:r>
      <w:r w:rsidRPr="00482592">
        <w:rPr>
          <w:rFonts w:eastAsia="Times New Roman"/>
          <w:lang w:val="en-GB"/>
        </w:rPr>
        <w:t xml:space="preserve">reactivation of cruise vessels </w:t>
      </w:r>
      <w:r w:rsidRPr="004903E7" w:rsidR="00B90EE0">
        <w:rPr>
          <w:rFonts w:eastAsia="Times New Roman"/>
          <w:lang w:val="en-GB"/>
        </w:rPr>
        <w:t>during the second half of the year</w:t>
      </w:r>
      <w:r w:rsidRPr="004903E7" w:rsidR="00B90EE0">
        <w:rPr>
          <w:lang w:val="en-GB"/>
        </w:rPr>
        <w:t>. E</w:t>
      </w:r>
      <w:r w:rsidRPr="004903E7">
        <w:rPr>
          <w:lang w:val="en-GB"/>
        </w:rPr>
        <w:t xml:space="preserve">quipment net sales </w:t>
      </w:r>
      <w:r w:rsidRPr="004903E7">
        <w:rPr>
          <w:lang w:val="en-GB"/>
        </w:rPr>
        <w:t>decreased by 2% to</w:t>
      </w:r>
      <w:r w:rsidRPr="004903E7">
        <w:rPr>
          <w:lang w:val="en-GB"/>
        </w:rPr>
        <w:t xml:space="preserve"> EUR </w:t>
      </w:r>
      <w:r w:rsidRPr="004903E7">
        <w:rPr>
          <w:lang w:val="en-GB"/>
        </w:rPr>
        <w:t>637</w:t>
      </w:r>
      <w:r w:rsidRPr="004903E7">
        <w:rPr>
          <w:lang w:val="en-GB"/>
        </w:rPr>
        <w:t xml:space="preserve"> million (</w:t>
      </w:r>
      <w:r w:rsidRPr="004903E7">
        <w:rPr>
          <w:lang w:val="en-GB"/>
        </w:rPr>
        <w:t>652</w:t>
      </w:r>
      <w:r w:rsidRPr="004903E7">
        <w:rPr>
          <w:lang w:val="en-GB"/>
        </w:rPr>
        <w:t>)</w:t>
      </w:r>
      <w:r w:rsidRPr="004903E7" w:rsidR="00B90EE0">
        <w:rPr>
          <w:lang w:val="en-GB"/>
        </w:rPr>
        <w:t>, due to a low</w:t>
      </w:r>
      <w:r w:rsidRPr="004903E7" w:rsidR="00600C82">
        <w:rPr>
          <w:lang w:val="en-GB"/>
        </w:rPr>
        <w:t xml:space="preserve"> order</w:t>
      </w:r>
      <w:r w:rsidRPr="004903E7" w:rsidR="00B90EE0">
        <w:rPr>
          <w:lang w:val="en-GB"/>
        </w:rPr>
        <w:t xml:space="preserve"> intake in previous periods</w:t>
      </w:r>
      <w:r w:rsidRPr="004903E7">
        <w:rPr>
          <w:lang w:val="en-GB"/>
        </w:rPr>
        <w:t xml:space="preserve">. The comparable operating result amounted to EUR </w:t>
      </w:r>
      <w:r w:rsidRPr="004903E7">
        <w:rPr>
          <w:lang w:val="en-GB"/>
        </w:rPr>
        <w:t>195</w:t>
      </w:r>
      <w:r w:rsidRPr="004903E7">
        <w:rPr>
          <w:lang w:val="en-GB"/>
        </w:rPr>
        <w:t xml:space="preserve"> million (</w:t>
      </w:r>
      <w:r w:rsidRPr="004903E7">
        <w:rPr>
          <w:lang w:val="en-GB"/>
        </w:rPr>
        <w:t>137</w:t>
      </w:r>
      <w:r w:rsidRPr="004903E7">
        <w:rPr>
          <w:lang w:val="en-GB"/>
        </w:rPr>
        <w:t xml:space="preserve">) or </w:t>
      </w:r>
      <w:r w:rsidRPr="004903E7">
        <w:rPr>
          <w:lang w:val="en-GB"/>
        </w:rPr>
        <w:t>10.5</w:t>
      </w:r>
      <w:r w:rsidRPr="004903E7">
        <w:rPr>
          <w:lang w:val="en-GB"/>
        </w:rPr>
        <w:t>% of net sales (</w:t>
      </w:r>
      <w:r w:rsidRPr="004903E7">
        <w:rPr>
          <w:lang w:val="en-GB"/>
        </w:rPr>
        <w:t>7.8</w:t>
      </w:r>
      <w:r w:rsidRPr="004903E7">
        <w:rPr>
          <w:lang w:val="en-GB"/>
        </w:rPr>
        <w:t xml:space="preserve">). </w:t>
      </w:r>
      <w:r w:rsidRPr="004903E7" w:rsidR="00B972E6">
        <w:rPr>
          <w:lang w:val="en-GB"/>
        </w:rPr>
        <w:t xml:space="preserve">The result improvement was primarily driven by a favourable sales mix between equipment and services, the reactivation of cruise vessels </w:t>
      </w:r>
      <w:r w:rsidRPr="00A02773">
        <w:rPr>
          <w:lang w:val="en-GB"/>
        </w:rPr>
        <w:t xml:space="preserve">and increased service volumes </w:t>
      </w:r>
      <w:r w:rsidRPr="004903E7" w:rsidR="00B972E6">
        <w:rPr>
          <w:lang w:val="en-GB"/>
        </w:rPr>
        <w:t xml:space="preserve">during the second half of the year, and efficiency improvement actions taken. Low factory load and cost inflation burdened profitability. Items affecting comparability comprised costs of EUR </w:t>
      </w:r>
      <w:r w:rsidRPr="004903E7" w:rsidR="00B972E6">
        <w:rPr>
          <w:lang w:val="en-GB"/>
        </w:rPr>
        <w:t>1</w:t>
      </w:r>
      <w:r>
        <w:rPr>
          <w:lang w:val="en-GB"/>
        </w:rPr>
        <w:t>5</w:t>
      </w:r>
      <w:r w:rsidRPr="004903E7" w:rsidR="00B972E6">
        <w:rPr>
          <w:lang w:val="en-GB"/>
        </w:rPr>
        <w:t xml:space="preserve"> million primarily related to the closure of the joint venture Wärtsilä CME in Zhenjiang, China and footprint optimisations concerning the new Smart Technology Hub in Vaasa, Finland.</w:t>
      </w:r>
    </w:p>
    <w:p w:rsidR="002A5572" w:rsidRPr="00B97F61" w:rsidP="007F6711" w14:paraId="103FBDB3" w14:textId="2E7F496D">
      <w:pPr>
        <w:pStyle w:val="WHeading40"/>
        <w:rPr>
          <w:sz w:val="15"/>
          <w:szCs w:val="15"/>
        </w:rPr>
      </w:pPr>
      <w:r w:rsidRPr="00B97F61">
        <w:rPr>
          <w:sz w:val="15"/>
          <w:szCs w:val="15"/>
        </w:rPr>
        <w:t>Divestments</w:t>
      </w:r>
    </w:p>
    <w:p w:rsidR="002A5572" w:rsidRPr="004903E7" w:rsidP="007F6711" w14:paraId="58C08A6D" w14:textId="66CB4F7C">
      <w:pPr>
        <w:pStyle w:val="WNormal"/>
        <w:rPr>
          <w:lang w:val="en-GB"/>
        </w:rPr>
      </w:pPr>
      <w:r w:rsidRPr="004903E7">
        <w:rPr>
          <w:lang w:val="en-GB"/>
        </w:rPr>
        <w:t>In May, Wär</w:t>
      </w:r>
      <w:r w:rsidRPr="004903E7">
        <w:rPr>
          <w:lang w:val="en-GB"/>
        </w:rPr>
        <w:t>tsilä announced the divestment of Delivery Centre Santander to Javier Cavada Corporación Cantabria (“JCCC”). Delivery Centre Santander is a state-of-the-art foundry able to cast the highest grades of NiAlBronze alloys. The facility located in Santander, No</w:t>
      </w:r>
      <w:r w:rsidRPr="004903E7">
        <w:rPr>
          <w:lang w:val="en-GB"/>
        </w:rPr>
        <w:t>rthern Spain, employs 45 professionals and has an annual casting capacity of 700 tons. As part of the divestment, Wärtsilä and JCCC signed a strategic supply agreement whereby JCCC becomes a supplier for bronze alloy castings parts to Wärtsilä Marine Power</w:t>
      </w:r>
      <w:r w:rsidRPr="004903E7">
        <w:rPr>
          <w:lang w:val="en-GB"/>
        </w:rPr>
        <w:t xml:space="preserve">. Subject to the fulfilment of closing conditions, closing of the transaction is expected in the first </w:t>
      </w:r>
      <w:r>
        <w:rPr>
          <w:lang w:val="en-GB"/>
        </w:rPr>
        <w:t xml:space="preserve">half </w:t>
      </w:r>
      <w:r w:rsidRPr="004903E7">
        <w:rPr>
          <w:lang w:val="en-GB"/>
        </w:rPr>
        <w:t>of 2022.</w:t>
      </w:r>
    </w:p>
    <w:p w:rsidR="002A5572" w:rsidRPr="004903E7" w:rsidP="007F6711" w14:paraId="7967C26A" w14:textId="6D8B6C8F">
      <w:pPr>
        <w:pStyle w:val="WNormal"/>
        <w:rPr>
          <w:lang w:val="en-GB"/>
        </w:rPr>
      </w:pPr>
      <w:r w:rsidRPr="004903E7">
        <w:rPr>
          <w:lang w:val="en-GB"/>
        </w:rPr>
        <w:t>Also in May, Wärtsilä and its joint venture partner Zhenjiang CME Co Ltd (CSSC Marine Power, owned by the CSSC group) announced the closure</w:t>
      </w:r>
      <w:r w:rsidRPr="004903E7">
        <w:rPr>
          <w:lang w:val="en-GB"/>
        </w:rPr>
        <w:t xml:space="preserve"> of the Wärtsilä CME joint venture in Zhenjiang, China. Some parts of the production and delivery activities of the joint venture have been moved to Propulsion Delivery Centre Wuxi (DCW) in China.  </w:t>
      </w:r>
    </w:p>
    <w:p w:rsidR="00782DBB" w:rsidRPr="00B0674F" w:rsidP="0033218B" w14:paraId="574E804A" w14:textId="6F9CA420">
      <w:pPr>
        <w:pStyle w:val="WHeading40"/>
      </w:pPr>
      <w:r w:rsidRPr="00B0674F">
        <w:t>Wärtsilä Marine Systems</w:t>
      </w:r>
    </w:p>
    <w:p w:rsidR="00782DBB" w:rsidRPr="004903E7" w:rsidP="007F6711" w14:paraId="32381A63" w14:textId="2DA346BF">
      <w:pPr>
        <w:pStyle w:val="WNormal"/>
        <w:rPr>
          <w:lang w:val="en-GB"/>
        </w:rPr>
      </w:pPr>
      <w:r w:rsidRPr="004903E7">
        <w:rPr>
          <w:lang w:val="en-GB"/>
        </w:rPr>
        <w:t xml:space="preserve">Marine Systems’ order intake in </w:t>
      </w:r>
      <w:r w:rsidRPr="004903E7">
        <w:rPr>
          <w:lang w:val="en-GB"/>
        </w:rPr>
        <w:t>2021</w:t>
      </w:r>
      <w:r w:rsidRPr="004903E7">
        <w:rPr>
          <w:lang w:val="en-GB"/>
        </w:rPr>
        <w:t xml:space="preserve"> </w:t>
      </w:r>
      <w:r w:rsidRPr="004903E7">
        <w:rPr>
          <w:lang w:val="en-GB"/>
        </w:rPr>
        <w:t>increased by 55% to</w:t>
      </w:r>
      <w:r w:rsidRPr="004903E7">
        <w:rPr>
          <w:lang w:val="en-GB"/>
        </w:rPr>
        <w:t xml:space="preserve"> EUR </w:t>
      </w:r>
      <w:r w:rsidRPr="004903E7">
        <w:rPr>
          <w:lang w:val="en-GB"/>
        </w:rPr>
        <w:t>835</w:t>
      </w:r>
      <w:r w:rsidRPr="004903E7">
        <w:rPr>
          <w:lang w:val="en-GB"/>
        </w:rPr>
        <w:t xml:space="preserve"> million (</w:t>
      </w:r>
      <w:r w:rsidRPr="004903E7">
        <w:rPr>
          <w:lang w:val="en-GB"/>
        </w:rPr>
        <w:t>539</w:t>
      </w:r>
      <w:r w:rsidRPr="004903E7">
        <w:rPr>
          <w:lang w:val="en-GB"/>
        </w:rPr>
        <w:t xml:space="preserve">) compared to the previous year. Book-to-bill was </w:t>
      </w:r>
      <w:r w:rsidRPr="004903E7">
        <w:rPr>
          <w:lang w:val="en-GB"/>
        </w:rPr>
        <w:t>1.28</w:t>
      </w:r>
      <w:r w:rsidRPr="004903E7">
        <w:rPr>
          <w:lang w:val="en-GB"/>
        </w:rPr>
        <w:t xml:space="preserve"> (</w:t>
      </w:r>
      <w:r w:rsidRPr="004903E7">
        <w:rPr>
          <w:lang w:val="en-GB"/>
        </w:rPr>
        <w:t>0.67</w:t>
      </w:r>
      <w:r w:rsidRPr="004903E7">
        <w:rPr>
          <w:lang w:val="en-GB"/>
        </w:rPr>
        <w:t xml:space="preserve">). Service order intake </w:t>
      </w:r>
      <w:r w:rsidRPr="004903E7">
        <w:rPr>
          <w:lang w:val="en-GB"/>
        </w:rPr>
        <w:t>increased by 14% to</w:t>
      </w:r>
      <w:r w:rsidRPr="004903E7">
        <w:rPr>
          <w:lang w:val="en-GB"/>
        </w:rPr>
        <w:t xml:space="preserve"> EUR </w:t>
      </w:r>
      <w:r w:rsidRPr="004903E7">
        <w:rPr>
          <w:lang w:val="en-GB"/>
        </w:rPr>
        <w:t>235</w:t>
      </w:r>
      <w:r w:rsidRPr="004903E7">
        <w:rPr>
          <w:lang w:val="en-GB"/>
        </w:rPr>
        <w:t xml:space="preserve"> million (</w:t>
      </w:r>
      <w:r w:rsidRPr="004903E7">
        <w:rPr>
          <w:lang w:val="en-GB"/>
        </w:rPr>
        <w:t>205</w:t>
      </w:r>
      <w:r w:rsidRPr="004903E7">
        <w:rPr>
          <w:lang w:val="en-GB"/>
        </w:rPr>
        <w:t>). E</w:t>
      </w:r>
      <w:r w:rsidRPr="004903E7">
        <w:rPr>
          <w:lang w:val="en-GB"/>
        </w:rPr>
        <w:t xml:space="preserve">quipment order intake </w:t>
      </w:r>
      <w:r w:rsidRPr="004903E7">
        <w:rPr>
          <w:lang w:val="en-GB"/>
        </w:rPr>
        <w:t>increased by 80% to</w:t>
      </w:r>
      <w:r w:rsidRPr="004903E7">
        <w:rPr>
          <w:lang w:val="en-GB"/>
        </w:rPr>
        <w:t xml:space="preserve"> EUR </w:t>
      </w:r>
      <w:r w:rsidRPr="004903E7">
        <w:rPr>
          <w:lang w:val="en-GB"/>
        </w:rPr>
        <w:t>600</w:t>
      </w:r>
      <w:r w:rsidRPr="004903E7">
        <w:rPr>
          <w:lang w:val="en-GB"/>
        </w:rPr>
        <w:t xml:space="preserve"> million (</w:t>
      </w:r>
      <w:r>
        <w:rPr>
          <w:lang w:val="en-GB"/>
        </w:rPr>
        <w:t>334</w:t>
      </w:r>
      <w:r w:rsidRPr="004903E7" w:rsidR="00600C82">
        <w:rPr>
          <w:lang w:val="en-GB"/>
        </w:rPr>
        <w:t>)</w:t>
      </w:r>
      <w:r w:rsidRPr="004903E7" w:rsidR="00576049">
        <w:rPr>
          <w:lang w:val="en-GB"/>
        </w:rPr>
        <w:t xml:space="preserve">. </w:t>
      </w:r>
      <w:r w:rsidRPr="004903E7">
        <w:rPr>
          <w:lang w:val="en-GB"/>
        </w:rPr>
        <w:t xml:space="preserve">The order book at the end of the year </w:t>
      </w:r>
      <w:r w:rsidRPr="004903E7">
        <w:rPr>
          <w:lang w:val="en-GB"/>
        </w:rPr>
        <w:t>increased by 22% to</w:t>
      </w:r>
      <w:r w:rsidRPr="004903E7">
        <w:rPr>
          <w:lang w:val="en-GB"/>
        </w:rPr>
        <w:t xml:space="preserve"> EUR </w:t>
      </w:r>
      <w:r w:rsidRPr="004903E7">
        <w:rPr>
          <w:lang w:val="en-GB"/>
        </w:rPr>
        <w:t>1,042</w:t>
      </w:r>
      <w:r w:rsidRPr="004903E7">
        <w:rPr>
          <w:lang w:val="en-GB"/>
        </w:rPr>
        <w:t xml:space="preserve"> million (</w:t>
      </w:r>
      <w:r w:rsidRPr="004903E7">
        <w:rPr>
          <w:lang w:val="en-GB"/>
        </w:rPr>
        <w:t>857</w:t>
      </w:r>
      <w:r w:rsidRPr="004903E7">
        <w:rPr>
          <w:color w:val="auto"/>
          <w:lang w:val="en-GB"/>
        </w:rPr>
        <w:t>)</w:t>
      </w:r>
      <w:r w:rsidRPr="004903E7" w:rsidR="00CE3A53">
        <w:rPr>
          <w:color w:val="auto"/>
          <w:lang w:val="en-GB"/>
        </w:rPr>
        <w:t>,</w:t>
      </w:r>
      <w:r w:rsidRPr="004903E7">
        <w:rPr>
          <w:color w:val="auto"/>
          <w:lang w:val="en-GB"/>
        </w:rPr>
        <w:t xml:space="preserve"> </w:t>
      </w:r>
      <w:r w:rsidRPr="004903E7" w:rsidR="00CE3A53">
        <w:rPr>
          <w:color w:val="auto"/>
          <w:lang w:val="en-GB"/>
        </w:rPr>
        <w:t>with growth in all business units with the exception of Exhaust Treatment.</w:t>
      </w:r>
    </w:p>
    <w:p w:rsidR="00161BD2" w:rsidRPr="004903E7" w:rsidP="007F6711" w14:paraId="4156018F" w14:textId="302AA9E3">
      <w:pPr>
        <w:pStyle w:val="WNormal"/>
        <w:rPr>
          <w:color w:val="FF0000"/>
          <w:lang w:val="en-GB"/>
        </w:rPr>
      </w:pPr>
      <w:r w:rsidRPr="004903E7">
        <w:rPr>
          <w:color w:val="auto"/>
          <w:lang w:val="en-GB"/>
        </w:rPr>
        <w:t xml:space="preserve">Net sales </w:t>
      </w:r>
      <w:r w:rsidRPr="004903E7">
        <w:rPr>
          <w:color w:val="auto"/>
          <w:lang w:val="en-GB"/>
        </w:rPr>
        <w:t>decreased by 19% to</w:t>
      </w:r>
      <w:r w:rsidRPr="004903E7">
        <w:rPr>
          <w:color w:val="auto"/>
          <w:lang w:val="en-GB"/>
        </w:rPr>
        <w:t xml:space="preserve"> EUR </w:t>
      </w:r>
      <w:r w:rsidRPr="004903E7">
        <w:rPr>
          <w:color w:val="auto"/>
          <w:lang w:val="en-GB"/>
        </w:rPr>
        <w:t>654</w:t>
      </w:r>
      <w:r w:rsidRPr="004903E7">
        <w:rPr>
          <w:color w:val="auto"/>
          <w:lang w:val="en-GB"/>
        </w:rPr>
        <w:t xml:space="preserve"> million </w:t>
      </w:r>
      <w:r w:rsidRPr="004903E7">
        <w:rPr>
          <w:color w:val="auto"/>
          <w:lang w:val="en-GB"/>
        </w:rPr>
        <w:t>(</w:t>
      </w:r>
      <w:r w:rsidRPr="004903E7">
        <w:rPr>
          <w:color w:val="auto"/>
          <w:lang w:val="en-GB"/>
        </w:rPr>
        <w:t>808</w:t>
      </w:r>
      <w:r w:rsidRPr="004903E7">
        <w:rPr>
          <w:color w:val="auto"/>
          <w:lang w:val="en-GB"/>
        </w:rPr>
        <w:t xml:space="preserve">) compared to the previous year. Service net sales </w:t>
      </w:r>
      <w:r w:rsidRPr="004903E7">
        <w:rPr>
          <w:color w:val="auto"/>
          <w:lang w:val="en-GB"/>
        </w:rPr>
        <w:t>decreased by 4% to</w:t>
      </w:r>
      <w:r w:rsidRPr="004903E7">
        <w:rPr>
          <w:color w:val="auto"/>
          <w:lang w:val="en-GB"/>
        </w:rPr>
        <w:t xml:space="preserve"> EUR </w:t>
      </w:r>
      <w:r w:rsidRPr="004903E7">
        <w:rPr>
          <w:color w:val="auto"/>
          <w:lang w:val="en-GB"/>
        </w:rPr>
        <w:t>211</w:t>
      </w:r>
      <w:r w:rsidRPr="004903E7">
        <w:rPr>
          <w:color w:val="auto"/>
          <w:lang w:val="en-GB"/>
        </w:rPr>
        <w:t xml:space="preserve"> </w:t>
      </w:r>
      <w:r w:rsidRPr="004903E7">
        <w:rPr>
          <w:color w:val="auto"/>
          <w:lang w:val="en-GB"/>
        </w:rPr>
        <w:t>million (</w:t>
      </w:r>
      <w:r w:rsidRPr="004903E7">
        <w:rPr>
          <w:color w:val="auto"/>
          <w:lang w:val="en-GB"/>
        </w:rPr>
        <w:t>219</w:t>
      </w:r>
      <w:r w:rsidRPr="004903E7">
        <w:rPr>
          <w:color w:val="auto"/>
          <w:lang w:val="en-GB"/>
        </w:rPr>
        <w:t xml:space="preserve">), while equipment net sales </w:t>
      </w:r>
      <w:r w:rsidRPr="004903E7">
        <w:rPr>
          <w:color w:val="auto"/>
          <w:lang w:val="en-GB"/>
        </w:rPr>
        <w:t>decreased by 25% to</w:t>
      </w:r>
      <w:r w:rsidRPr="004903E7">
        <w:rPr>
          <w:color w:val="auto"/>
          <w:lang w:val="en-GB"/>
        </w:rPr>
        <w:t xml:space="preserve"> EUR </w:t>
      </w:r>
      <w:r w:rsidRPr="004903E7">
        <w:rPr>
          <w:color w:val="auto"/>
          <w:lang w:val="en-GB"/>
        </w:rPr>
        <w:t>444</w:t>
      </w:r>
      <w:r w:rsidRPr="004903E7">
        <w:rPr>
          <w:color w:val="auto"/>
          <w:lang w:val="en-GB"/>
        </w:rPr>
        <w:t xml:space="preserve"> million (</w:t>
      </w:r>
      <w:r w:rsidRPr="004903E7">
        <w:rPr>
          <w:color w:val="auto"/>
          <w:lang w:val="en-GB"/>
        </w:rPr>
        <w:t>588</w:t>
      </w:r>
      <w:r w:rsidRPr="004903E7">
        <w:rPr>
          <w:color w:val="auto"/>
          <w:lang w:val="en-GB"/>
        </w:rPr>
        <w:t xml:space="preserve">). The comparable operating result amounted to EUR </w:t>
      </w:r>
      <w:r w:rsidRPr="004903E7">
        <w:rPr>
          <w:color w:val="auto"/>
          <w:lang w:val="en-GB"/>
        </w:rPr>
        <w:t>52</w:t>
      </w:r>
      <w:r w:rsidRPr="004903E7">
        <w:rPr>
          <w:color w:val="auto"/>
          <w:lang w:val="en-GB"/>
        </w:rPr>
        <w:t xml:space="preserve"> million (</w:t>
      </w:r>
      <w:r w:rsidRPr="004903E7">
        <w:rPr>
          <w:color w:val="auto"/>
          <w:lang w:val="en-GB"/>
        </w:rPr>
        <w:t>83</w:t>
      </w:r>
      <w:r w:rsidRPr="004903E7">
        <w:rPr>
          <w:color w:val="auto"/>
          <w:lang w:val="en-GB"/>
        </w:rPr>
        <w:t xml:space="preserve">) or </w:t>
      </w:r>
      <w:r w:rsidRPr="004903E7">
        <w:rPr>
          <w:color w:val="auto"/>
          <w:lang w:val="en-GB"/>
        </w:rPr>
        <w:t>7.9</w:t>
      </w:r>
      <w:r w:rsidRPr="004903E7">
        <w:rPr>
          <w:color w:val="auto"/>
          <w:lang w:val="en-GB"/>
        </w:rPr>
        <w:t>% of net sales (</w:t>
      </w:r>
      <w:r w:rsidRPr="004903E7">
        <w:rPr>
          <w:color w:val="auto"/>
          <w:lang w:val="en-GB"/>
        </w:rPr>
        <w:t>10.3</w:t>
      </w:r>
      <w:r w:rsidRPr="004903E7">
        <w:rPr>
          <w:color w:val="auto"/>
          <w:lang w:val="en-GB"/>
        </w:rPr>
        <w:t>)</w:t>
      </w:r>
      <w:r w:rsidRPr="004903E7" w:rsidR="00CE3A53">
        <w:rPr>
          <w:color w:val="auto"/>
          <w:lang w:val="en-GB"/>
        </w:rPr>
        <w:t>, as a consequence of decreased scrubber volumes and lower newbuild scrubber margins. Items affecting comparability comprised costs of EUR 4 million related to footprint adjustments and organisational optimisation.</w:t>
      </w:r>
    </w:p>
    <w:p w:rsidR="00511D5D" w:rsidRPr="00B0674F" w:rsidP="0033218B" w14:paraId="16621C1D" w14:textId="0B5B5EA8">
      <w:pPr>
        <w:pStyle w:val="WHeading40"/>
      </w:pPr>
      <w:r w:rsidRPr="00B0674F">
        <w:t>Wärtsilä Voyage</w:t>
      </w:r>
    </w:p>
    <w:p w:rsidR="00511D5D" w:rsidRPr="004903E7" w:rsidP="007F6711" w14:paraId="554E5956" w14:textId="37C6A500">
      <w:pPr>
        <w:pStyle w:val="WNormal"/>
        <w:rPr>
          <w:lang w:val="en-GB"/>
        </w:rPr>
      </w:pPr>
      <w:r w:rsidRPr="004903E7">
        <w:rPr>
          <w:lang w:val="en-GB"/>
        </w:rPr>
        <w:t xml:space="preserve">Voyage’s order intake in </w:t>
      </w:r>
      <w:r w:rsidRPr="004903E7">
        <w:rPr>
          <w:lang w:val="en-GB"/>
        </w:rPr>
        <w:t>2021</w:t>
      </w:r>
      <w:r w:rsidRPr="004903E7">
        <w:rPr>
          <w:lang w:val="en-GB"/>
        </w:rPr>
        <w:t xml:space="preserve"> </w:t>
      </w:r>
      <w:r w:rsidRPr="004903E7">
        <w:rPr>
          <w:lang w:val="en-GB"/>
        </w:rPr>
        <w:t>increased by 12% to</w:t>
      </w:r>
      <w:r w:rsidRPr="004903E7">
        <w:rPr>
          <w:lang w:val="en-GB"/>
        </w:rPr>
        <w:t xml:space="preserve"> EUR </w:t>
      </w:r>
      <w:r w:rsidRPr="004903E7">
        <w:rPr>
          <w:lang w:val="en-GB"/>
        </w:rPr>
        <w:t>292</w:t>
      </w:r>
      <w:r w:rsidRPr="004903E7">
        <w:rPr>
          <w:lang w:val="en-GB"/>
        </w:rPr>
        <w:t xml:space="preserve"> million (</w:t>
      </w:r>
      <w:r w:rsidRPr="004903E7">
        <w:rPr>
          <w:lang w:val="en-GB"/>
        </w:rPr>
        <w:t>262</w:t>
      </w:r>
      <w:r w:rsidRPr="004903E7">
        <w:rPr>
          <w:lang w:val="en-GB"/>
        </w:rPr>
        <w:t xml:space="preserve">) compared to the previous year. Book-to-bill was </w:t>
      </w:r>
      <w:r w:rsidRPr="004903E7">
        <w:rPr>
          <w:lang w:val="en-GB"/>
        </w:rPr>
        <w:t>1.05</w:t>
      </w:r>
      <w:r w:rsidRPr="004903E7">
        <w:rPr>
          <w:lang w:val="en-GB"/>
        </w:rPr>
        <w:t xml:space="preserve"> (</w:t>
      </w:r>
      <w:r w:rsidRPr="004903E7">
        <w:rPr>
          <w:lang w:val="en-GB"/>
        </w:rPr>
        <w:t>1.06</w:t>
      </w:r>
      <w:r w:rsidRPr="004903E7">
        <w:rPr>
          <w:lang w:val="en-GB"/>
        </w:rPr>
        <w:t xml:space="preserve">). Service order intake </w:t>
      </w:r>
      <w:r w:rsidRPr="004903E7">
        <w:rPr>
          <w:lang w:val="en-GB"/>
        </w:rPr>
        <w:t>increased by 19% to</w:t>
      </w:r>
      <w:r w:rsidRPr="004903E7">
        <w:rPr>
          <w:lang w:val="en-GB"/>
        </w:rPr>
        <w:t xml:space="preserve"> EUR </w:t>
      </w:r>
      <w:r w:rsidRPr="004903E7">
        <w:rPr>
          <w:lang w:val="en-GB"/>
        </w:rPr>
        <w:t>109</w:t>
      </w:r>
      <w:r w:rsidRPr="004903E7">
        <w:rPr>
          <w:lang w:val="en-GB"/>
        </w:rPr>
        <w:t xml:space="preserve"> million (</w:t>
      </w:r>
      <w:r w:rsidRPr="004903E7">
        <w:rPr>
          <w:lang w:val="en-GB"/>
        </w:rPr>
        <w:t>92</w:t>
      </w:r>
      <w:r w:rsidRPr="004903E7">
        <w:rPr>
          <w:lang w:val="en-GB"/>
        </w:rPr>
        <w:t xml:space="preserve">), while equipment order intake </w:t>
      </w:r>
      <w:r w:rsidRPr="004903E7">
        <w:rPr>
          <w:lang w:val="en-GB"/>
        </w:rPr>
        <w:t>increased by 8% to</w:t>
      </w:r>
      <w:r w:rsidRPr="004903E7">
        <w:rPr>
          <w:lang w:val="en-GB"/>
        </w:rPr>
        <w:t xml:space="preserve"> EUR </w:t>
      </w:r>
      <w:r w:rsidRPr="004903E7">
        <w:rPr>
          <w:lang w:val="en-GB"/>
        </w:rPr>
        <w:t>183</w:t>
      </w:r>
      <w:r w:rsidRPr="004903E7">
        <w:rPr>
          <w:lang w:val="en-GB"/>
        </w:rPr>
        <w:t xml:space="preserve"> million (</w:t>
      </w:r>
      <w:r w:rsidRPr="004903E7">
        <w:rPr>
          <w:lang w:val="en-GB"/>
        </w:rPr>
        <w:t>170</w:t>
      </w:r>
      <w:r w:rsidRPr="004903E7">
        <w:rPr>
          <w:lang w:val="en-GB"/>
        </w:rPr>
        <w:t>).</w:t>
      </w:r>
      <w:r w:rsidRPr="004903E7" w:rsidR="00CE3A53">
        <w:rPr>
          <w:lang w:val="en-GB"/>
        </w:rPr>
        <w:t xml:space="preserve"> Most of the pressure on orders seen in 2020 due to Covid-19 progressively dissipated throughout the year, as the industry adapted to the pandemic and customers got closer to a pre-pandemic business activity level.</w:t>
      </w:r>
      <w:r w:rsidRPr="004903E7">
        <w:rPr>
          <w:lang w:val="en-GB"/>
        </w:rPr>
        <w:t xml:space="preserve"> The order book at the end of the year </w:t>
      </w:r>
      <w:r w:rsidRPr="004903E7">
        <w:rPr>
          <w:lang w:val="en-GB"/>
        </w:rPr>
        <w:t>increased by 5% to</w:t>
      </w:r>
      <w:r w:rsidRPr="004903E7">
        <w:rPr>
          <w:lang w:val="en-GB"/>
        </w:rPr>
        <w:t xml:space="preserve"> EUR </w:t>
      </w:r>
      <w:r w:rsidRPr="004903E7">
        <w:rPr>
          <w:lang w:val="en-GB"/>
        </w:rPr>
        <w:t>288</w:t>
      </w:r>
      <w:r w:rsidRPr="004903E7">
        <w:rPr>
          <w:lang w:val="en-GB"/>
        </w:rPr>
        <w:t xml:space="preserve"> million (</w:t>
      </w:r>
      <w:r w:rsidRPr="004903E7">
        <w:rPr>
          <w:lang w:val="en-GB"/>
        </w:rPr>
        <w:t>275</w:t>
      </w:r>
      <w:r w:rsidRPr="004903E7">
        <w:rPr>
          <w:lang w:val="en-GB"/>
        </w:rPr>
        <w:t>)</w:t>
      </w:r>
      <w:bookmarkStart w:id="21" w:name="_Hlk45121881"/>
      <w:r w:rsidRPr="004903E7">
        <w:rPr>
          <w:lang w:val="en-GB"/>
        </w:rPr>
        <w:t>.</w:t>
      </w:r>
    </w:p>
    <w:p w:rsidR="00511D5D" w:rsidRPr="004903E7" w:rsidP="007F6711" w14:paraId="6201CB7D" w14:textId="529DACB3">
      <w:pPr>
        <w:pStyle w:val="WNormal"/>
        <w:rPr>
          <w:lang w:val="en-GB"/>
        </w:rPr>
      </w:pPr>
      <w:bookmarkEnd w:id="21"/>
      <w:r w:rsidRPr="004903E7">
        <w:rPr>
          <w:lang w:val="en-GB"/>
        </w:rPr>
        <w:t>Net sale</w:t>
      </w:r>
      <w:r w:rsidRPr="004903E7">
        <w:rPr>
          <w:lang w:val="en-GB"/>
        </w:rPr>
        <w:t xml:space="preserve">s </w:t>
      </w:r>
      <w:r w:rsidRPr="004903E7">
        <w:rPr>
          <w:lang w:val="en-GB"/>
        </w:rPr>
        <w:t>increased by 13% to</w:t>
      </w:r>
      <w:r w:rsidRPr="004903E7">
        <w:rPr>
          <w:lang w:val="en-GB"/>
        </w:rPr>
        <w:t xml:space="preserve"> EUR </w:t>
      </w:r>
      <w:r w:rsidRPr="004903E7">
        <w:rPr>
          <w:lang w:val="en-GB"/>
        </w:rPr>
        <w:t>279</w:t>
      </w:r>
      <w:r w:rsidRPr="004903E7">
        <w:rPr>
          <w:lang w:val="en-GB"/>
        </w:rPr>
        <w:t xml:space="preserve"> million (</w:t>
      </w:r>
      <w:r w:rsidRPr="004903E7">
        <w:rPr>
          <w:lang w:val="en-GB"/>
        </w:rPr>
        <w:t>248</w:t>
      </w:r>
      <w:r w:rsidRPr="004903E7">
        <w:rPr>
          <w:lang w:val="en-GB"/>
        </w:rPr>
        <w:t xml:space="preserve">) compared to the previous year. </w:t>
      </w:r>
      <w:bookmarkStart w:id="22" w:name="_Hlk45121978"/>
      <w:r w:rsidRPr="004903E7" w:rsidR="00B668B1">
        <w:rPr>
          <w:lang w:val="en-GB"/>
        </w:rPr>
        <w:t xml:space="preserve">The increase was primarily a result of </w:t>
      </w:r>
      <w:r w:rsidRPr="00EF68DD">
        <w:rPr>
          <w:lang w:val="en-GB"/>
        </w:rPr>
        <w:t>customer activity strengthening towards pre-pandemic level</w:t>
      </w:r>
      <w:r w:rsidRPr="00EF68DD">
        <w:rPr>
          <w:lang w:val="en-GB"/>
        </w:rPr>
        <w:t>s</w:t>
      </w:r>
      <w:r w:rsidRPr="004903E7" w:rsidR="00B668B1">
        <w:rPr>
          <w:lang w:val="en-GB"/>
        </w:rPr>
        <w:t>, which allowed for the resumption of transactional service business and newbuild activity.</w:t>
      </w:r>
      <w:r w:rsidRPr="004903E7">
        <w:rPr>
          <w:lang w:val="en-GB"/>
        </w:rPr>
        <w:t xml:space="preserve"> </w:t>
      </w:r>
      <w:bookmarkEnd w:id="22"/>
      <w:r w:rsidRPr="004903E7">
        <w:rPr>
          <w:lang w:val="en-GB"/>
        </w:rPr>
        <w:t xml:space="preserve">Service net sales </w:t>
      </w:r>
      <w:r w:rsidRPr="004903E7">
        <w:rPr>
          <w:lang w:val="en-GB"/>
        </w:rPr>
        <w:t>increased by 25% to</w:t>
      </w:r>
      <w:r w:rsidRPr="004903E7">
        <w:rPr>
          <w:lang w:val="en-GB"/>
        </w:rPr>
        <w:t xml:space="preserve"> EUR </w:t>
      </w:r>
      <w:r w:rsidRPr="004903E7">
        <w:rPr>
          <w:lang w:val="en-GB"/>
        </w:rPr>
        <w:t>105</w:t>
      </w:r>
      <w:r w:rsidRPr="004903E7">
        <w:rPr>
          <w:lang w:val="en-GB"/>
        </w:rPr>
        <w:t xml:space="preserve"> million (</w:t>
      </w:r>
      <w:r w:rsidRPr="004903E7">
        <w:rPr>
          <w:lang w:val="en-GB"/>
        </w:rPr>
        <w:t>85</w:t>
      </w:r>
      <w:r w:rsidRPr="004903E7">
        <w:rPr>
          <w:lang w:val="en-GB"/>
        </w:rPr>
        <w:t xml:space="preserve">), while equipment net sales </w:t>
      </w:r>
      <w:r w:rsidRPr="004903E7">
        <w:rPr>
          <w:lang w:val="en-GB"/>
        </w:rPr>
        <w:t>increased by 6% to</w:t>
      </w:r>
      <w:r w:rsidRPr="004903E7">
        <w:rPr>
          <w:lang w:val="en-GB"/>
        </w:rPr>
        <w:t xml:space="preserve"> EUR </w:t>
      </w:r>
      <w:r w:rsidRPr="004903E7">
        <w:rPr>
          <w:lang w:val="en-GB"/>
        </w:rPr>
        <w:t>174</w:t>
      </w:r>
      <w:r w:rsidRPr="004903E7">
        <w:rPr>
          <w:lang w:val="en-GB"/>
        </w:rPr>
        <w:t xml:space="preserve"> million (</w:t>
      </w:r>
      <w:r w:rsidRPr="004903E7">
        <w:rPr>
          <w:lang w:val="en-GB"/>
        </w:rPr>
        <w:t>163</w:t>
      </w:r>
      <w:r w:rsidRPr="004903E7">
        <w:rPr>
          <w:lang w:val="en-GB"/>
        </w:rPr>
        <w:t xml:space="preserve">). The comparable operating result amounted to EUR </w:t>
      </w:r>
      <w:r>
        <w:rPr>
          <w:lang w:val="en-GB"/>
        </w:rPr>
        <w:br/>
      </w:r>
      <w:r w:rsidRPr="004903E7">
        <w:rPr>
          <w:lang w:val="en-GB"/>
        </w:rPr>
        <w:t>-28</w:t>
      </w:r>
      <w:r w:rsidRPr="004903E7">
        <w:rPr>
          <w:lang w:val="en-GB"/>
        </w:rPr>
        <w:t xml:space="preserve"> million (</w:t>
      </w:r>
      <w:r w:rsidRPr="004903E7">
        <w:rPr>
          <w:lang w:val="en-GB"/>
        </w:rPr>
        <w:t>-41</w:t>
      </w:r>
      <w:r w:rsidRPr="004903E7">
        <w:rPr>
          <w:lang w:val="en-GB"/>
        </w:rPr>
        <w:t xml:space="preserve">) or </w:t>
      </w:r>
      <w:r w:rsidRPr="004903E7">
        <w:rPr>
          <w:lang w:val="en-GB"/>
        </w:rPr>
        <w:t>-9.9</w:t>
      </w:r>
      <w:r w:rsidRPr="004903E7">
        <w:rPr>
          <w:lang w:val="en-GB"/>
        </w:rPr>
        <w:t>% of net sales (</w:t>
      </w:r>
      <w:r w:rsidRPr="004903E7">
        <w:rPr>
          <w:lang w:val="en-GB"/>
        </w:rPr>
        <w:t>-16.5</w:t>
      </w:r>
      <w:r w:rsidRPr="004903E7">
        <w:rPr>
          <w:lang w:val="en-GB"/>
        </w:rPr>
        <w:t xml:space="preserve">). </w:t>
      </w:r>
      <w:r w:rsidRPr="004903E7" w:rsidR="00B668B1">
        <w:rPr>
          <w:lang w:val="en-GB"/>
        </w:rPr>
        <w:t xml:space="preserve">The result was positively impacted by higher sales volumes, a more favourable sales mix between equipment and services, and efficiency improvement actions taken. At the same time, investments in digital competences and Covid-19 related challenges in the global utilisation of personnel burdened the operating result. Items affecting comparability comprised costs of EUR 12 million related to </w:t>
      </w:r>
      <w:r w:rsidRPr="007B4A4D">
        <w:rPr>
          <w:lang w:val="en-GB"/>
        </w:rPr>
        <w:t xml:space="preserve">efficiency improvement </w:t>
      </w:r>
      <w:r w:rsidRPr="004903E7" w:rsidR="00B668B1">
        <w:rPr>
          <w:lang w:val="en-GB"/>
        </w:rPr>
        <w:t>programmes.</w:t>
      </w:r>
    </w:p>
    <w:p w:rsidR="00B91B7E" w:rsidRPr="00B0674F" w:rsidP="0033218B" w14:paraId="1C885F80" w14:textId="74535C07">
      <w:pPr>
        <w:pStyle w:val="WHeading40"/>
      </w:pPr>
      <w:r w:rsidRPr="00B0674F">
        <w:t xml:space="preserve">Wärtsilä Energy </w:t>
      </w:r>
    </w:p>
    <w:p w:rsidR="00041CD2" w:rsidRPr="004903E7" w:rsidP="007F6711" w14:paraId="2E7BA951" w14:textId="652AC5C8">
      <w:pPr>
        <w:pStyle w:val="WNormal"/>
        <w:rPr>
          <w:lang w:val="en-GB"/>
        </w:rPr>
      </w:pPr>
      <w:r w:rsidRPr="004903E7">
        <w:rPr>
          <w:lang w:val="en-GB"/>
        </w:rPr>
        <w:t xml:space="preserve">Energy’s order intake in </w:t>
      </w:r>
      <w:r w:rsidRPr="004903E7">
        <w:rPr>
          <w:lang w:val="en-GB"/>
        </w:rPr>
        <w:t>2021</w:t>
      </w:r>
      <w:r w:rsidRPr="004903E7">
        <w:rPr>
          <w:lang w:val="en-GB"/>
        </w:rPr>
        <w:t xml:space="preserve"> </w:t>
      </w:r>
      <w:r w:rsidRPr="004903E7">
        <w:rPr>
          <w:lang w:val="en-GB"/>
        </w:rPr>
        <w:t>increased by 48% to</w:t>
      </w:r>
      <w:r w:rsidRPr="004903E7">
        <w:rPr>
          <w:lang w:val="en-GB"/>
        </w:rPr>
        <w:t xml:space="preserve"> EUR </w:t>
      </w:r>
      <w:r w:rsidRPr="004903E7">
        <w:rPr>
          <w:lang w:val="en-GB"/>
        </w:rPr>
        <w:t>2,444</w:t>
      </w:r>
      <w:r w:rsidRPr="004903E7">
        <w:rPr>
          <w:lang w:val="en-GB"/>
        </w:rPr>
        <w:t xml:space="preserve"> million (</w:t>
      </w:r>
      <w:r w:rsidRPr="004903E7">
        <w:rPr>
          <w:lang w:val="en-GB"/>
        </w:rPr>
        <w:t>1,653</w:t>
      </w:r>
      <w:r w:rsidRPr="004903E7">
        <w:rPr>
          <w:lang w:val="en-GB"/>
        </w:rPr>
        <w:t xml:space="preserve">) compared to the previous year. Book-to-bill was </w:t>
      </w:r>
      <w:r w:rsidRPr="004903E7">
        <w:rPr>
          <w:lang w:val="en-GB"/>
        </w:rPr>
        <w:t>1.31</w:t>
      </w:r>
      <w:r w:rsidRPr="004903E7">
        <w:rPr>
          <w:lang w:val="en-GB"/>
        </w:rPr>
        <w:t xml:space="preserve"> (</w:t>
      </w:r>
      <w:r w:rsidRPr="004903E7">
        <w:rPr>
          <w:lang w:val="en-GB"/>
        </w:rPr>
        <w:t>1.02</w:t>
      </w:r>
      <w:r w:rsidRPr="004903E7">
        <w:rPr>
          <w:lang w:val="en-GB"/>
        </w:rPr>
        <w:t xml:space="preserve">). Service order intake </w:t>
      </w:r>
      <w:r w:rsidRPr="004903E7">
        <w:rPr>
          <w:lang w:val="en-GB"/>
        </w:rPr>
        <w:t>increased by 9% to</w:t>
      </w:r>
      <w:r w:rsidRPr="004903E7">
        <w:rPr>
          <w:lang w:val="en-GB"/>
        </w:rPr>
        <w:t xml:space="preserve"> EUR </w:t>
      </w:r>
      <w:r w:rsidRPr="004903E7">
        <w:rPr>
          <w:lang w:val="en-GB"/>
        </w:rPr>
        <w:t>916</w:t>
      </w:r>
      <w:r w:rsidRPr="004903E7">
        <w:rPr>
          <w:lang w:val="en-GB"/>
        </w:rPr>
        <w:t xml:space="preserve"> million (</w:t>
      </w:r>
      <w:r w:rsidRPr="004903E7">
        <w:rPr>
          <w:lang w:val="en-GB"/>
        </w:rPr>
        <w:t>840</w:t>
      </w:r>
      <w:r w:rsidRPr="004903E7">
        <w:rPr>
          <w:lang w:val="en-GB"/>
        </w:rPr>
        <w:t xml:space="preserve">), while equipment order intake </w:t>
      </w:r>
      <w:r w:rsidRPr="004903E7">
        <w:rPr>
          <w:lang w:val="en-GB"/>
        </w:rPr>
        <w:t>increased by 88% to</w:t>
      </w:r>
      <w:r w:rsidRPr="004903E7">
        <w:rPr>
          <w:lang w:val="en-GB"/>
        </w:rPr>
        <w:t xml:space="preserve"> EUR </w:t>
      </w:r>
      <w:r w:rsidRPr="004903E7">
        <w:rPr>
          <w:lang w:val="en-GB"/>
        </w:rPr>
        <w:t>1,529</w:t>
      </w:r>
      <w:r w:rsidRPr="004903E7">
        <w:rPr>
          <w:lang w:val="en-GB"/>
        </w:rPr>
        <w:t xml:space="preserve"> million (</w:t>
      </w:r>
      <w:r w:rsidRPr="004903E7">
        <w:rPr>
          <w:lang w:val="en-GB"/>
        </w:rPr>
        <w:t>813</w:t>
      </w:r>
      <w:r w:rsidRPr="004903E7">
        <w:rPr>
          <w:lang w:val="en-GB"/>
        </w:rPr>
        <w:t xml:space="preserve">). </w:t>
      </w:r>
      <w:r w:rsidRPr="004903E7" w:rsidR="00E60B6D">
        <w:rPr>
          <w:lang w:val="en-GB"/>
        </w:rPr>
        <w:t>Demand for equipment was highest in the Americas. Wärtsilä was awarded important thermal power plant project contracts in the USA, Mexico, and Brazil. Activity in the storage market was strong with orders of over 3,000 MWh received.</w:t>
      </w:r>
      <w:r w:rsidRPr="004903E7">
        <w:rPr>
          <w:lang w:val="en-GB"/>
        </w:rPr>
        <w:t xml:space="preserve"> The order book at the end of the year </w:t>
      </w:r>
      <w:r w:rsidRPr="004903E7">
        <w:rPr>
          <w:lang w:val="en-GB"/>
        </w:rPr>
        <w:t>increased by 31% to</w:t>
      </w:r>
      <w:r w:rsidRPr="004903E7">
        <w:rPr>
          <w:lang w:val="en-GB"/>
        </w:rPr>
        <w:t xml:space="preserve"> EUR </w:t>
      </w:r>
      <w:r w:rsidRPr="004903E7">
        <w:rPr>
          <w:lang w:val="en-GB"/>
        </w:rPr>
        <w:t>2,393</w:t>
      </w:r>
      <w:r w:rsidRPr="004903E7">
        <w:rPr>
          <w:lang w:val="en-GB"/>
        </w:rPr>
        <w:t xml:space="preserve"> million (</w:t>
      </w:r>
      <w:r w:rsidRPr="004903E7">
        <w:rPr>
          <w:lang w:val="en-GB"/>
        </w:rPr>
        <w:t>1,830</w:t>
      </w:r>
      <w:r w:rsidRPr="004903E7">
        <w:rPr>
          <w:lang w:val="en-GB"/>
        </w:rPr>
        <w:t>).</w:t>
      </w:r>
    </w:p>
    <w:p w:rsidR="00AF6566" w:rsidRPr="004903E7" w:rsidP="007F6711" w14:paraId="4A4D8085" w14:textId="5CE1A0B5">
      <w:pPr>
        <w:pStyle w:val="WNormal"/>
        <w:rPr>
          <w:color w:val="FF0000"/>
          <w:lang w:val="en-GB"/>
        </w:rPr>
      </w:pPr>
      <w:r w:rsidRPr="004903E7">
        <w:rPr>
          <w:lang w:val="en-GB"/>
        </w:rPr>
        <w:t xml:space="preserve">Net sales </w:t>
      </w:r>
      <w:r w:rsidRPr="004903E7">
        <w:rPr>
          <w:lang w:val="en-GB"/>
        </w:rPr>
        <w:t>increased by 15% to</w:t>
      </w:r>
      <w:r w:rsidRPr="004903E7">
        <w:rPr>
          <w:lang w:val="en-GB"/>
        </w:rPr>
        <w:t xml:space="preserve"> EUR </w:t>
      </w:r>
      <w:r w:rsidRPr="004903E7">
        <w:rPr>
          <w:lang w:val="en-GB"/>
        </w:rPr>
        <w:t>1,861</w:t>
      </w:r>
      <w:r w:rsidRPr="004903E7">
        <w:rPr>
          <w:lang w:val="en-GB"/>
        </w:rPr>
        <w:t xml:space="preserve"> million (</w:t>
      </w:r>
      <w:r w:rsidRPr="004903E7">
        <w:rPr>
          <w:lang w:val="en-GB"/>
        </w:rPr>
        <w:t>1,620</w:t>
      </w:r>
      <w:r w:rsidRPr="004903E7">
        <w:rPr>
          <w:lang w:val="en-GB"/>
        </w:rPr>
        <w:t xml:space="preserve">) compared to the previous year. Service net sales </w:t>
      </w:r>
      <w:r w:rsidRPr="004903E7">
        <w:rPr>
          <w:lang w:val="en-GB"/>
        </w:rPr>
        <w:t>increased by 14% to</w:t>
      </w:r>
      <w:r w:rsidRPr="004903E7">
        <w:rPr>
          <w:lang w:val="en-GB"/>
        </w:rPr>
        <w:t xml:space="preserve"> EUR </w:t>
      </w:r>
      <w:r w:rsidRPr="004903E7">
        <w:rPr>
          <w:lang w:val="en-GB"/>
        </w:rPr>
        <w:t>891</w:t>
      </w:r>
      <w:r w:rsidRPr="004903E7">
        <w:rPr>
          <w:lang w:val="en-GB"/>
        </w:rPr>
        <w:t xml:space="preserve"> million (</w:t>
      </w:r>
      <w:r w:rsidRPr="004903E7">
        <w:rPr>
          <w:lang w:val="en-GB"/>
        </w:rPr>
        <w:t>782</w:t>
      </w:r>
      <w:r w:rsidRPr="004903E7">
        <w:rPr>
          <w:lang w:val="en-GB"/>
        </w:rPr>
        <w:t xml:space="preserve">), while equipment net sales </w:t>
      </w:r>
      <w:r w:rsidRPr="004903E7">
        <w:rPr>
          <w:lang w:val="en-GB"/>
        </w:rPr>
        <w:t>increased by 16% to</w:t>
      </w:r>
      <w:r w:rsidRPr="004903E7">
        <w:rPr>
          <w:lang w:val="en-GB"/>
        </w:rPr>
        <w:t xml:space="preserve"> EUR </w:t>
      </w:r>
      <w:r w:rsidRPr="004903E7">
        <w:rPr>
          <w:lang w:val="en-GB"/>
        </w:rPr>
        <w:t>970</w:t>
      </w:r>
      <w:r w:rsidRPr="004903E7">
        <w:rPr>
          <w:lang w:val="en-GB"/>
        </w:rPr>
        <w:t xml:space="preserve"> million (</w:t>
      </w:r>
      <w:r w:rsidRPr="004903E7">
        <w:rPr>
          <w:lang w:val="en-GB"/>
        </w:rPr>
        <w:t>838</w:t>
      </w:r>
      <w:r w:rsidRPr="004903E7">
        <w:rPr>
          <w:lang w:val="en-GB"/>
        </w:rPr>
        <w:t xml:space="preserve">). The comparable operating result amounted to EUR </w:t>
      </w:r>
      <w:r w:rsidRPr="004903E7">
        <w:rPr>
          <w:lang w:val="en-GB"/>
        </w:rPr>
        <w:t>136</w:t>
      </w:r>
      <w:r w:rsidRPr="004903E7">
        <w:rPr>
          <w:lang w:val="en-GB"/>
        </w:rPr>
        <w:t xml:space="preserve"> million (</w:t>
      </w:r>
      <w:r w:rsidRPr="004903E7">
        <w:rPr>
          <w:lang w:val="en-GB"/>
        </w:rPr>
        <w:t>101</w:t>
      </w:r>
      <w:r w:rsidRPr="004903E7">
        <w:rPr>
          <w:lang w:val="en-GB"/>
        </w:rPr>
        <w:t xml:space="preserve">) or </w:t>
      </w:r>
      <w:r w:rsidRPr="004903E7">
        <w:rPr>
          <w:lang w:val="en-GB"/>
        </w:rPr>
        <w:t>7.3</w:t>
      </w:r>
      <w:r w:rsidRPr="004903E7">
        <w:rPr>
          <w:lang w:val="en-GB"/>
        </w:rPr>
        <w:t>% of net sales (</w:t>
      </w:r>
      <w:r w:rsidRPr="004903E7">
        <w:rPr>
          <w:lang w:val="en-GB"/>
        </w:rPr>
        <w:t>6.3</w:t>
      </w:r>
      <w:r w:rsidRPr="004903E7">
        <w:rPr>
          <w:lang w:val="en-GB"/>
        </w:rPr>
        <w:t xml:space="preserve">). </w:t>
      </w:r>
      <w:r w:rsidRPr="004903E7">
        <w:rPr>
          <w:color w:val="auto"/>
          <w:lang w:val="en-GB"/>
        </w:rPr>
        <w:t>Good development in sales volumes and improved serv</w:t>
      </w:r>
      <w:r w:rsidRPr="004903E7">
        <w:rPr>
          <w:color w:val="auto"/>
          <w:lang w:val="en-GB"/>
        </w:rPr>
        <w:t>ice capacity utilisation contributed to a positive margin development. Profitability was burdened by approximately EUR 20 million in net provisions arising from a detailed project risk review in the first quarter, under-absorption of factory capacity costs</w:t>
      </w:r>
      <w:r w:rsidRPr="004903E7">
        <w:rPr>
          <w:color w:val="auto"/>
          <w:lang w:val="en-GB"/>
        </w:rPr>
        <w:t>, and cost inflation.</w:t>
      </w:r>
    </w:p>
    <w:p w:rsidR="00F66F00" w:rsidRPr="00CB7366" w:rsidP="00EF6F8D" w14:textId="07094898">
      <w:pPr>
        <w:pStyle w:val="Heading3"/>
      </w:pPr>
      <w:bookmarkStart w:id="23" w:name="RG_MARKER_7499"/>
      <w:r w:rsidRPr="00CB7366">
        <w:t>Other business activities</w:t>
      </w:r>
      <w:bookmarkEnd w:id="23"/>
    </w:p>
    <w:p w:rsidR="00F66F00" w:rsidRPr="00EF6F8D" w:rsidP="00EF6F8D" w14:textId="4C59B165">
      <w:pPr>
        <w:pStyle w:val="Heading4"/>
      </w:pPr>
      <w:r w:rsidRPr="00EF6F8D">
        <w:t xml:space="preserve">Wärtsilä </w:t>
      </w:r>
      <w:r>
        <w:t>Portfolio Business</w:t>
      </w:r>
    </w:p>
    <w:p w:rsidR="00280C1D" w:rsidRPr="00CB7366" w:rsidP="00280C1D" w14:paraId="0A5EBF5F" w14:textId="59B0D9EF">
      <w:pPr>
        <w:pStyle w:val="Wnormal0"/>
        <w:rPr>
          <w:sz w:val="16"/>
          <w:szCs w:val="16"/>
          <w:lang w:val="en-GB"/>
        </w:rPr>
      </w:pPr>
      <w:r w:rsidRPr="00CB7366">
        <w:rPr>
          <w:sz w:val="16"/>
          <w:szCs w:val="16"/>
        </w:rPr>
        <w:t>Portfolio Business’</w:t>
      </w:r>
      <w:r w:rsidRPr="00CB7366">
        <w:rPr>
          <w:sz w:val="16"/>
          <w:szCs w:val="16"/>
          <w:lang w:val="en-GB"/>
        </w:rPr>
        <w:t xml:space="preserve"> order intake in </w:t>
      </w:r>
      <w:r w:rsidRPr="00CB7366">
        <w:rPr>
          <w:sz w:val="16"/>
          <w:szCs w:val="16"/>
          <w:lang w:val="en-GB"/>
        </w:rPr>
        <w:t>2021</w:t>
      </w:r>
      <w:r w:rsidRPr="00CB7366">
        <w:rPr>
          <w:sz w:val="16"/>
          <w:szCs w:val="16"/>
          <w:lang w:val="en-GB"/>
        </w:rPr>
        <w:t xml:space="preserve"> </w:t>
      </w:r>
      <w:r w:rsidRPr="00CB7366">
        <w:rPr>
          <w:sz w:val="16"/>
          <w:szCs w:val="16"/>
          <w:lang w:val="en-GB"/>
        </w:rPr>
        <w:t>decreased by 9% to</w:t>
      </w:r>
      <w:r w:rsidRPr="00CB7366">
        <w:rPr>
          <w:sz w:val="16"/>
          <w:szCs w:val="16"/>
          <w:lang w:val="en-GB"/>
        </w:rPr>
        <w:t xml:space="preserve"> EUR </w:t>
      </w:r>
      <w:r w:rsidRPr="00CB7366">
        <w:rPr>
          <w:sz w:val="16"/>
          <w:szCs w:val="16"/>
          <w:lang w:val="en-GB"/>
        </w:rPr>
        <w:t>153</w:t>
      </w:r>
      <w:r w:rsidRPr="00CB7366">
        <w:rPr>
          <w:sz w:val="16"/>
          <w:szCs w:val="16"/>
          <w:lang w:val="en-GB"/>
        </w:rPr>
        <w:t xml:space="preserve"> million (</w:t>
      </w:r>
      <w:r w:rsidRPr="00CB7366">
        <w:rPr>
          <w:sz w:val="16"/>
          <w:szCs w:val="16"/>
          <w:lang w:val="en-GB"/>
        </w:rPr>
        <w:t>168</w:t>
      </w:r>
      <w:r w:rsidRPr="00CB7366">
        <w:rPr>
          <w:sz w:val="16"/>
          <w:szCs w:val="16"/>
          <w:lang w:val="en-GB"/>
        </w:rPr>
        <w:t>) compared to the previous year</w:t>
      </w:r>
      <w:r>
        <w:rPr>
          <w:sz w:val="16"/>
          <w:szCs w:val="16"/>
          <w:lang w:val="en-GB"/>
        </w:rPr>
        <w:t xml:space="preserve">, </w:t>
      </w:r>
      <w:r w:rsidRPr="00846F36">
        <w:rPr>
          <w:sz w:val="16"/>
          <w:szCs w:val="16"/>
          <w:lang w:val="en-GB"/>
        </w:rPr>
        <w:t>with growth in the American Hydro business unit, but a negative impact resulting from the divestme</w:t>
      </w:r>
      <w:r w:rsidRPr="00846F36">
        <w:rPr>
          <w:sz w:val="16"/>
          <w:szCs w:val="16"/>
          <w:lang w:val="en-GB"/>
        </w:rPr>
        <w:t>nts of certain business units completed in 2021</w:t>
      </w:r>
      <w:r w:rsidRPr="00846F36">
        <w:rPr>
          <w:rFonts w:eastAsia="Times New Roman"/>
          <w:sz w:val="16"/>
          <w:szCs w:val="16"/>
          <w:lang w:val="en-GB"/>
        </w:rPr>
        <w:t>.</w:t>
      </w:r>
      <w:r>
        <w:rPr>
          <w:rFonts w:eastAsia="Times New Roman"/>
          <w:sz w:val="16"/>
          <w:szCs w:val="16"/>
          <w:lang w:val="en-GB"/>
        </w:rPr>
        <w:t xml:space="preserve"> </w:t>
      </w:r>
      <w:r w:rsidRPr="00CB7366">
        <w:rPr>
          <w:sz w:val="16"/>
          <w:szCs w:val="16"/>
          <w:lang w:val="en-GB"/>
        </w:rPr>
        <w:t xml:space="preserve">The order book at the end of the year </w:t>
      </w:r>
      <w:r w:rsidRPr="00CB7366">
        <w:rPr>
          <w:sz w:val="16"/>
          <w:szCs w:val="16"/>
          <w:lang w:val="en-GB"/>
        </w:rPr>
        <w:t>decreased by 45% to</w:t>
      </w:r>
      <w:r w:rsidRPr="00CB7366">
        <w:rPr>
          <w:sz w:val="16"/>
          <w:szCs w:val="16"/>
          <w:lang w:val="en-GB"/>
        </w:rPr>
        <w:t xml:space="preserve"> EUR </w:t>
      </w:r>
      <w:r w:rsidRPr="00CB7366">
        <w:rPr>
          <w:sz w:val="16"/>
          <w:szCs w:val="16"/>
          <w:lang w:val="en-GB"/>
        </w:rPr>
        <w:t>142</w:t>
      </w:r>
      <w:r w:rsidRPr="00CB7366">
        <w:rPr>
          <w:sz w:val="16"/>
          <w:szCs w:val="16"/>
          <w:lang w:val="en-GB"/>
        </w:rPr>
        <w:t xml:space="preserve"> million (</w:t>
      </w:r>
      <w:r w:rsidRPr="00CB7366">
        <w:rPr>
          <w:sz w:val="16"/>
          <w:szCs w:val="16"/>
          <w:lang w:val="en-GB"/>
        </w:rPr>
        <w:t>257</w:t>
      </w:r>
      <w:r w:rsidRPr="00CB7366">
        <w:rPr>
          <w:sz w:val="16"/>
          <w:szCs w:val="16"/>
          <w:lang w:val="en-GB"/>
        </w:rPr>
        <w:t>)</w:t>
      </w:r>
      <w:r w:rsidRPr="00846F36">
        <w:rPr>
          <w:sz w:val="16"/>
          <w:szCs w:val="16"/>
          <w:lang w:val="en-GB"/>
        </w:rPr>
        <w:t>, mainly due to the exclusion of the diveste</w:t>
      </w:r>
      <w:r w:rsidRPr="00846F36">
        <w:rPr>
          <w:sz w:val="16"/>
          <w:szCs w:val="16"/>
          <w:lang w:val="en-GB"/>
        </w:rPr>
        <w:t>d business units’ order books</w:t>
      </w:r>
      <w:r w:rsidRPr="00CB7366">
        <w:rPr>
          <w:sz w:val="16"/>
          <w:szCs w:val="16"/>
          <w:lang w:val="en-GB"/>
        </w:rPr>
        <w:t>.</w:t>
      </w:r>
    </w:p>
    <w:p w:rsidR="00AF6566" w:rsidRPr="00CB7366" w:rsidP="00280C1D" w14:textId="7786CB27">
      <w:pPr>
        <w:pStyle w:val="Wnormal0"/>
        <w:rPr>
          <w:sz w:val="16"/>
          <w:szCs w:val="16"/>
        </w:rPr>
      </w:pPr>
      <w:r w:rsidRPr="00CB7366">
        <w:rPr>
          <w:sz w:val="16"/>
          <w:szCs w:val="16"/>
          <w:lang w:val="en-GB"/>
        </w:rPr>
        <w:t xml:space="preserve">Net sales </w:t>
      </w:r>
      <w:r w:rsidRPr="00CB7366">
        <w:rPr>
          <w:sz w:val="16"/>
          <w:szCs w:val="16"/>
          <w:lang w:val="en-GB"/>
        </w:rPr>
        <w:t>decreased by 33% to</w:t>
      </w:r>
      <w:r w:rsidRPr="00CB7366">
        <w:rPr>
          <w:sz w:val="16"/>
          <w:szCs w:val="16"/>
          <w:lang w:val="en-GB"/>
        </w:rPr>
        <w:t xml:space="preserve"> EUR </w:t>
      </w:r>
      <w:r w:rsidRPr="00CB7366">
        <w:rPr>
          <w:sz w:val="16"/>
          <w:szCs w:val="16"/>
          <w:lang w:val="en-GB"/>
        </w:rPr>
        <w:t>121</w:t>
      </w:r>
      <w:r w:rsidRPr="00CB7366">
        <w:rPr>
          <w:sz w:val="16"/>
          <w:szCs w:val="16"/>
          <w:lang w:val="en-GB"/>
        </w:rPr>
        <w:t xml:space="preserve"> million (</w:t>
      </w:r>
      <w:r w:rsidRPr="00CB7366">
        <w:rPr>
          <w:sz w:val="16"/>
          <w:szCs w:val="16"/>
          <w:lang w:val="en-GB"/>
        </w:rPr>
        <w:t>181</w:t>
      </w:r>
      <w:r w:rsidRPr="00CB7366">
        <w:rPr>
          <w:sz w:val="16"/>
          <w:szCs w:val="16"/>
          <w:lang w:val="en-GB"/>
        </w:rPr>
        <w:t>) compared to the previous year</w:t>
      </w:r>
      <w:r>
        <w:rPr>
          <w:sz w:val="16"/>
          <w:szCs w:val="16"/>
          <w:lang w:val="en-GB"/>
        </w:rPr>
        <w:t xml:space="preserve">, </w:t>
      </w:r>
      <w:r w:rsidRPr="00846F36">
        <w:rPr>
          <w:color w:val="000000" w:themeColor="text1"/>
          <w:sz w:val="16"/>
          <w:szCs w:val="16"/>
          <w:lang w:val="en-GB"/>
        </w:rPr>
        <w:t xml:space="preserve">due to the divestments of certain business units </w:t>
      </w:r>
      <w:r w:rsidRPr="00846F36">
        <w:rPr>
          <w:color w:val="000000" w:themeColor="text1"/>
          <w:sz w:val="16"/>
          <w:szCs w:val="16"/>
          <w:lang w:val="en-GB"/>
        </w:rPr>
        <w:t>completed in 2021</w:t>
      </w:r>
      <w:r w:rsidRPr="00846F36">
        <w:rPr>
          <w:sz w:val="16"/>
          <w:szCs w:val="16"/>
          <w:lang w:val="en-GB"/>
        </w:rPr>
        <w:t>.</w:t>
      </w:r>
      <w:r w:rsidRPr="00846F36">
        <w:rPr>
          <w:sz w:val="14"/>
          <w:szCs w:val="14"/>
          <w:lang w:val="en-GB"/>
        </w:rPr>
        <w:t xml:space="preserve"> </w:t>
      </w:r>
      <w:r w:rsidRPr="00CB7366">
        <w:rPr>
          <w:sz w:val="16"/>
          <w:szCs w:val="16"/>
          <w:lang w:val="en-GB"/>
        </w:rPr>
        <w:t xml:space="preserve">The comparable operating result amounted to EUR </w:t>
      </w:r>
      <w:r w:rsidRPr="00CB7366">
        <w:rPr>
          <w:sz w:val="16"/>
          <w:szCs w:val="16"/>
          <w:lang w:val="en-GB"/>
        </w:rPr>
        <w:t>2</w:t>
      </w:r>
      <w:r w:rsidRPr="00CB7366">
        <w:rPr>
          <w:sz w:val="16"/>
          <w:szCs w:val="16"/>
          <w:lang w:val="en-GB"/>
        </w:rPr>
        <w:t xml:space="preserve"> million (</w:t>
      </w:r>
      <w:r w:rsidRPr="00CB7366">
        <w:rPr>
          <w:sz w:val="16"/>
          <w:szCs w:val="16"/>
          <w:lang w:val="en-GB"/>
        </w:rPr>
        <w:t>-6</w:t>
      </w:r>
      <w:r w:rsidRPr="00CB7366">
        <w:rPr>
          <w:sz w:val="16"/>
          <w:szCs w:val="16"/>
          <w:lang w:val="en-GB"/>
        </w:rPr>
        <w:t xml:space="preserve">) or </w:t>
      </w:r>
      <w:r w:rsidRPr="00CB7366">
        <w:rPr>
          <w:sz w:val="16"/>
          <w:szCs w:val="16"/>
          <w:lang w:val="en-GB"/>
        </w:rPr>
        <w:t>1.6</w:t>
      </w:r>
      <w:r w:rsidRPr="00CB7366">
        <w:rPr>
          <w:sz w:val="16"/>
          <w:szCs w:val="16"/>
          <w:lang w:val="en-GB"/>
        </w:rPr>
        <w:t>% of net sales (</w:t>
      </w:r>
      <w:r w:rsidRPr="00CB7366">
        <w:rPr>
          <w:sz w:val="16"/>
          <w:szCs w:val="16"/>
          <w:lang w:val="en-GB"/>
        </w:rPr>
        <w:t>-3.1</w:t>
      </w:r>
      <w:r w:rsidRPr="00CB7366">
        <w:rPr>
          <w:sz w:val="16"/>
          <w:szCs w:val="16"/>
          <w:lang w:val="en-GB"/>
        </w:rPr>
        <w:t>)</w:t>
      </w:r>
      <w:r w:rsidRPr="00846F36">
        <w:rPr>
          <w:sz w:val="16"/>
          <w:szCs w:val="16"/>
          <w:lang w:val="en-GB"/>
        </w:rPr>
        <w:t>, primarily thanks to improved profitability in the Water &amp; Waste business unit. Items affecting comparability amounting to EUR 11 million were recognised as a result of divestments.</w:t>
      </w:r>
    </w:p>
    <w:p w:rsidR="00B75734" w:rsidRPr="001B1B42" w:rsidP="008835D8">
      <w:pPr>
        <w:pStyle w:val="WHeadingException3"/>
        <w:spacing w:before="80" w:after="20" w:line="276" w:lineRule="auto"/>
        <w:rPr>
          <w:rFonts w:ascii="Arial" w:eastAsia="Times New Roman" w:hAnsi="Arial"/>
          <w:b/>
          <w:bCs/>
          <w:sz w:val="15"/>
          <w:szCs w:val="15"/>
        </w:rPr>
      </w:pPr>
      <w:bookmarkStart w:id="24" w:name="RG_MARKER_7506"/>
      <w:r w:rsidRPr="001B1B42">
        <w:rPr>
          <w:b/>
          <w:bCs/>
          <w:sz w:val="15"/>
          <w:szCs w:val="15"/>
        </w:rPr>
        <w:t>Divestments</w:t>
      </w:r>
      <w:bookmarkEnd w:id="24"/>
    </w:p>
    <w:p w:rsidR="00674BD9" w:rsidRPr="00674BD9" w:rsidP="00674BD9">
      <w:pPr>
        <w:pStyle w:val="Wnormal0"/>
        <w:rPr>
          <w:rFonts w:eastAsiaTheme="minorEastAsia"/>
          <w:sz w:val="16"/>
          <w:szCs w:val="20"/>
        </w:rPr>
      </w:pPr>
      <w:r w:rsidRPr="00674BD9">
        <w:rPr>
          <w:rFonts w:eastAsiaTheme="minorEastAsia"/>
          <w:sz w:val="16"/>
          <w:szCs w:val="20"/>
        </w:rPr>
        <w:t>In January, Wärtsilä announced the divestment of 100% of its shares in the Entertainment business, Wärtsilä Funa GmbH, to Videlio SA, a French public limited company. The former Wärtsilä</w:t>
      </w:r>
      <w:r w:rsidRPr="00674BD9">
        <w:rPr>
          <w:rFonts w:eastAsiaTheme="minorEastAsia"/>
          <w:sz w:val="16"/>
          <w:szCs w:val="20"/>
        </w:rPr>
        <w:t xml:space="preserve"> business is engaged in the design, fabrication, engineering, and integration of entertainment systems, illumination, light control, cabin control, and broadcast and digital audio distribution and announcement systems for cruise vessels and entertainment p</w:t>
      </w:r>
      <w:r w:rsidRPr="00674BD9">
        <w:rPr>
          <w:rFonts w:eastAsiaTheme="minorEastAsia"/>
          <w:sz w:val="16"/>
          <w:szCs w:val="20"/>
        </w:rPr>
        <w:t>arks. The company became part of Wärtsilä as a result of the acquisition of L-3 Communications MSI in 2015 and has 172 employees in five countries, with the majority being based in Emden, Germany. Its annual revenues were approximately EUR 50 million in 20</w:t>
      </w:r>
      <w:r w:rsidRPr="00674BD9">
        <w:rPr>
          <w:rFonts w:eastAsiaTheme="minorEastAsia"/>
          <w:sz w:val="16"/>
          <w:szCs w:val="20"/>
        </w:rPr>
        <w:t xml:space="preserve">20. The transaction was completed in April. </w:t>
      </w:r>
    </w:p>
    <w:p w:rsidR="00674BD9" w:rsidRPr="00674BD9" w:rsidP="00674BD9">
      <w:pPr>
        <w:pStyle w:val="Wnormal0"/>
        <w:rPr>
          <w:rFonts w:eastAsiaTheme="minorEastAsia"/>
          <w:sz w:val="16"/>
          <w:szCs w:val="20"/>
        </w:rPr>
      </w:pPr>
      <w:r w:rsidRPr="00674BD9">
        <w:rPr>
          <w:rFonts w:eastAsiaTheme="minorEastAsia"/>
          <w:sz w:val="16"/>
          <w:szCs w:val="20"/>
        </w:rPr>
        <w:t>In March, Wärtsilä announced the divestment of 100% of its shares in Wärtsilä Euroatlas GmbH to Mimir, a global investment firm based in Sweden. The former Wärtsilä business provides its global customer base wit</w:t>
      </w:r>
      <w:r w:rsidRPr="00674BD9">
        <w:rPr>
          <w:rFonts w:eastAsiaTheme="minorEastAsia"/>
          <w:sz w:val="16"/>
          <w:szCs w:val="20"/>
        </w:rPr>
        <w:t>h tailormade solutions for high-performance power conversion in naval, aviation, and mobile land-based applications requiring the highest reliability and power density, and leading-edge energy efficiency under harsh environmental conditions. The company be</w:t>
      </w:r>
      <w:r w:rsidRPr="00674BD9">
        <w:rPr>
          <w:rFonts w:eastAsiaTheme="minorEastAsia"/>
          <w:sz w:val="16"/>
          <w:szCs w:val="20"/>
        </w:rPr>
        <w:t>came part of Wärtsilä as a result of the acquisition of L-3 Communications MSI in 2015 and has 79 employees based in Bremen, Germany. The transaction was completed in July.</w:t>
      </w:r>
    </w:p>
    <w:p w:rsidR="00674BD9" w:rsidRPr="002360CC" w:rsidP="00674BD9">
      <w:pPr>
        <w:pStyle w:val="Wnormal0"/>
        <w:rPr>
          <w:rFonts w:eastAsiaTheme="minorEastAsia"/>
          <w:sz w:val="16"/>
          <w:szCs w:val="20"/>
        </w:rPr>
      </w:pPr>
      <w:r w:rsidRPr="00674BD9">
        <w:rPr>
          <w:rFonts w:eastAsiaTheme="minorEastAsia"/>
          <w:sz w:val="16"/>
          <w:szCs w:val="20"/>
        </w:rPr>
        <w:t>In September, Wärtsilä announced the divestment of its Tank Control Systems busines</w:t>
      </w:r>
      <w:r w:rsidRPr="00674BD9">
        <w:rPr>
          <w:rFonts w:eastAsiaTheme="minorEastAsia"/>
          <w:sz w:val="16"/>
          <w:szCs w:val="20"/>
        </w:rPr>
        <w:t>s to Svanehøj, a Danish gas pump specialist involved in the design and manufacture of specialised deep well pump solutions. Wärtsilä Tank Control Systems designs, manufactures, sells, and services high-end measurement systems for gas tanks on LNG ships, of</w:t>
      </w:r>
      <w:r w:rsidRPr="00674BD9">
        <w:rPr>
          <w:rFonts w:eastAsiaTheme="minorEastAsia"/>
          <w:sz w:val="16"/>
          <w:szCs w:val="20"/>
        </w:rPr>
        <w:t>fshore storage, and land-based LNG terminals. Tank Control Systems is also a leading supplier of safety products and associated systems and solutions for LPG land-based storage and underground cavern storage. The business became part of Wärtsilä as a resul</w:t>
      </w:r>
      <w:r w:rsidRPr="00674BD9">
        <w:rPr>
          <w:rFonts w:eastAsiaTheme="minorEastAsia"/>
          <w:sz w:val="16"/>
          <w:szCs w:val="20"/>
        </w:rPr>
        <w:t>t of the acquisition of Total Automation in 2006 and has approximately 50 employees based in the UK, France and Singapore with revenues of EUR 7.5 million in 2020. The transaction was completed in January 2022.</w:t>
      </w:r>
    </w:p>
    <w:p w:rsidR="004C30D4" w:rsidRPr="00600C06" w:rsidP="00600C06">
      <w:pPr>
        <w:pStyle w:val="WHeadingException1"/>
        <w:spacing w:before="0"/>
        <w:rPr>
          <w:b/>
          <w:bCs/>
          <w:sz w:val="17"/>
          <w:szCs w:val="17"/>
        </w:rPr>
      </w:pPr>
      <w:bookmarkStart w:id="25" w:name="RG_MARKER_7485"/>
      <w:r w:rsidRPr="00600C06">
        <w:rPr>
          <w:b/>
          <w:bCs/>
          <w:sz w:val="17"/>
          <w:szCs w:val="17"/>
        </w:rPr>
        <w:t>Risks and business uncertainties</w:t>
      </w:r>
      <w:bookmarkEnd w:id="25"/>
    </w:p>
    <w:p w:rsidR="00555D47" w:rsidRPr="00600C06" w:rsidP="00555D47">
      <w:pPr>
        <w:pStyle w:val="Wnormal0"/>
        <w:rPr>
          <w:color w:val="111111"/>
          <w:sz w:val="16"/>
          <w:szCs w:val="16"/>
        </w:rPr>
      </w:pPr>
      <w:r w:rsidRPr="00600C06">
        <w:rPr>
          <w:color w:val="111111"/>
          <w:sz w:val="16"/>
          <w:szCs w:val="16"/>
        </w:rPr>
        <w:t>New variants of Covid-19 and the measures taken to contain its spread represent the main short- and mid-term risk to the demand for equipment and services, as they impact global energy consumption, seaborne trade, as well as consumer confidence in cruise a</w:t>
      </w:r>
      <w:r w:rsidRPr="00600C06">
        <w:rPr>
          <w:color w:val="111111"/>
          <w:sz w:val="16"/>
          <w:szCs w:val="16"/>
        </w:rPr>
        <w:t>nd ferry transportation. Mobility restrictions continue to affect business operations, project delivery schedules, and the ability to perform services. Disruptions to global supply chains and Covid-19 related quarantines and personnel sick leave may impact</w:t>
      </w:r>
      <w:r w:rsidRPr="00600C06">
        <w:rPr>
          <w:color w:val="111111"/>
          <w:sz w:val="16"/>
          <w:szCs w:val="16"/>
        </w:rPr>
        <w:t xml:space="preserve"> factory activities and the delivery of spare parts, while generating risks in terms of raw material and component prices and availability, as well as transportation costs. Whilst the roll-out of vaccines is proceeding well overall, there is still uncertai</w:t>
      </w:r>
      <w:r w:rsidRPr="00600C06">
        <w:rPr>
          <w:color w:val="111111"/>
          <w:sz w:val="16"/>
          <w:szCs w:val="16"/>
        </w:rPr>
        <w:t xml:space="preserve">nty over the duration of the pandemic, the effectiveness of the vaccines on new variants of Covid-19, and how quickly country level vaccination programmes are implemented on a global scale, especially in developing countries. </w:t>
      </w:r>
    </w:p>
    <w:p w:rsidR="00555D47" w:rsidRPr="00600C06" w:rsidP="00555D47">
      <w:pPr>
        <w:pStyle w:val="Wnormal0"/>
        <w:rPr>
          <w:color w:val="111111"/>
          <w:sz w:val="16"/>
          <w:szCs w:val="16"/>
        </w:rPr>
      </w:pPr>
      <w:r w:rsidRPr="00600C06">
        <w:rPr>
          <w:color w:val="111111"/>
          <w:sz w:val="16"/>
          <w:szCs w:val="16"/>
        </w:rPr>
        <w:t>The shipping and shipbuilding</w:t>
      </w:r>
      <w:r w:rsidRPr="00600C06">
        <w:rPr>
          <w:color w:val="111111"/>
          <w:sz w:val="16"/>
          <w:szCs w:val="16"/>
        </w:rPr>
        <w:t xml:space="preserve"> markets are faced with increasing regulatory, financial, and end-customer pressure to decarbonise their operations. Uncertainties around the development and deployment of suitable future technologies may affect the investment appetite of ship owners and o</w:t>
      </w:r>
      <w:r w:rsidRPr="00600C06">
        <w:rPr>
          <w:color w:val="111111"/>
          <w:sz w:val="16"/>
          <w:szCs w:val="16"/>
        </w:rPr>
        <w:t>perators, concerning both newbuilding programmes and the management of existing fleets. At the same time, the limited development of alternative fuel infrastructures, the substantial price gap between conventional and alternative fuels, and uncertainties c</w:t>
      </w:r>
      <w:r w:rsidRPr="00600C06">
        <w:rPr>
          <w:color w:val="111111"/>
          <w:sz w:val="16"/>
          <w:szCs w:val="16"/>
        </w:rPr>
        <w:t>oncerning the regulatory environment and the uptake of new technology may raise barriers for the green transition.</w:t>
      </w:r>
    </w:p>
    <w:p w:rsidR="00555D47" w:rsidRPr="00600C06" w:rsidP="00555D47">
      <w:pPr>
        <w:pStyle w:val="Wnormal0"/>
        <w:rPr>
          <w:color w:val="111111"/>
          <w:sz w:val="16"/>
          <w:szCs w:val="16"/>
        </w:rPr>
      </w:pPr>
      <w:r w:rsidRPr="00600C06">
        <w:rPr>
          <w:color w:val="111111"/>
          <w:sz w:val="16"/>
          <w:szCs w:val="16"/>
        </w:rPr>
        <w:t>The travel bans still in force, the limited ability or desire of people to travel, and a new escalation of Covid-19 cases pose risks to the r</w:t>
      </w:r>
      <w:r w:rsidRPr="00600C06">
        <w:rPr>
          <w:color w:val="111111"/>
          <w:sz w:val="16"/>
          <w:szCs w:val="16"/>
        </w:rPr>
        <w:t>ecovery of the cruise and ferry markets. In the offshore oil and gas industry, the uncertainty around future demand for crude oil and oil price volatility are pushing oil majors to re-evaluate their spending on exploration activities and operational costs,</w:t>
      </w:r>
      <w:r w:rsidRPr="00600C06">
        <w:rPr>
          <w:color w:val="111111"/>
          <w:sz w:val="16"/>
          <w:szCs w:val="16"/>
        </w:rPr>
        <w:t xml:space="preserve"> which might lead to an increasing number of laid-up drilling units and support vessels. The volatility of oil prices also affects the price spread between high- and low-sulphur fuels. A narrower price differential, or weaker future availability of high-su</w:t>
      </w:r>
      <w:r w:rsidRPr="00600C06">
        <w:rPr>
          <w:color w:val="111111"/>
          <w:sz w:val="16"/>
          <w:szCs w:val="16"/>
        </w:rPr>
        <w:t>lphur fuel, might weaken the case for scrubber investments. The prevailing market conditions may result in continued price pressure.</w:t>
      </w:r>
    </w:p>
    <w:p w:rsidR="00555D47" w:rsidRPr="00600C06" w:rsidP="00555D47">
      <w:pPr>
        <w:pStyle w:val="Wnormal0"/>
        <w:rPr>
          <w:color w:val="111111"/>
          <w:sz w:val="16"/>
          <w:szCs w:val="16"/>
        </w:rPr>
      </w:pPr>
      <w:r w:rsidRPr="00600C06">
        <w:rPr>
          <w:color w:val="111111"/>
          <w:sz w:val="16"/>
          <w:szCs w:val="16"/>
        </w:rPr>
        <w:t>In the energy markets, despite economic activity growing globally, the prevailing Covid-19 pandemic, currency fluctuations,</w:t>
      </w:r>
      <w:r w:rsidRPr="00600C06">
        <w:rPr>
          <w:color w:val="111111"/>
          <w:sz w:val="16"/>
          <w:szCs w:val="16"/>
        </w:rPr>
        <w:t xml:space="preserve"> and potential financing constraints are likely to postpone investment decisions on new power generation capacity. Many countries are still struggling with the pandemic, which limits their ability to implement new infrastructure projects. Similarly, the en</w:t>
      </w:r>
      <w:r w:rsidRPr="00600C06">
        <w:rPr>
          <w:color w:val="111111"/>
          <w:sz w:val="16"/>
          <w:szCs w:val="16"/>
        </w:rPr>
        <w:t>ergy transition may temporarily be slowed, as the focus is on containing the virus spread and mitigating its impacts. Agreed and proposed stimulus packages to accelerate renewable energy investments still include uncertainties about the allocation of fundi</w:t>
      </w:r>
      <w:r w:rsidRPr="00600C06">
        <w:rPr>
          <w:color w:val="111111"/>
          <w:sz w:val="16"/>
          <w:szCs w:val="16"/>
        </w:rPr>
        <w:t>ng and implementation timelines. However, once stimulus measures are executed, the need for flexibility in power systems will be emphasised. Changes in climate policies and regulations cause uncertainty in the markets, as they may impact technology choices</w:t>
      </w:r>
      <w:r w:rsidRPr="00600C06">
        <w:rPr>
          <w:color w:val="111111"/>
          <w:sz w:val="16"/>
          <w:szCs w:val="16"/>
        </w:rPr>
        <w:t xml:space="preserve"> for customers. Geopolitical tensions and trade barrier implications are also notable challenges to the demand environment. Price pressure resulting from the prevailing competitive environment remains a risk. Gas price volatility and increasing prices may </w:t>
      </w:r>
      <w:r w:rsidRPr="00600C06">
        <w:rPr>
          <w:color w:val="111111"/>
          <w:sz w:val="16"/>
          <w:szCs w:val="16"/>
        </w:rPr>
        <w:t>impact the competitiveness of thermal baseload gas plants, but are not expected to have a major impact on thermal balancing power. In addition, there are risks related to the efficient and fast scaling up of the energy storage business and resources to mee</w:t>
      </w:r>
      <w:r w:rsidRPr="00600C06">
        <w:rPr>
          <w:color w:val="111111"/>
          <w:sz w:val="16"/>
          <w:szCs w:val="16"/>
        </w:rPr>
        <w:t>t the increasing market demand.</w:t>
      </w:r>
    </w:p>
    <w:p w:rsidR="00555D47" w:rsidRPr="00600C06" w:rsidP="00555D47">
      <w:pPr>
        <w:pStyle w:val="Wnormal0"/>
        <w:rPr>
          <w:color w:val="111111"/>
          <w:sz w:val="16"/>
          <w:szCs w:val="16"/>
        </w:rPr>
      </w:pPr>
      <w:r w:rsidRPr="00600C06">
        <w:rPr>
          <w:color w:val="111111"/>
          <w:sz w:val="16"/>
          <w:szCs w:val="16"/>
        </w:rPr>
        <w:t xml:space="preserve">The volatility of the geopolitical environment, and the potential enforcement of sanctions or embargos, pose a potential risk to the customer relations and international business activities of the company. </w:t>
      </w:r>
      <w:r w:rsidRPr="00600C06">
        <w:rPr>
          <w:color w:val="111111"/>
          <w:sz w:val="16"/>
          <w:szCs w:val="16"/>
        </w:rPr>
        <w:t>With the rapidly growing use of data in shipping and shipbuilding, as well as in the energy markets, cyber threats can potentially result in various forms of financial, operationa</w:t>
      </w:r>
      <w:r w:rsidRPr="00600C06">
        <w:rPr>
          <w:color w:val="111111"/>
          <w:sz w:val="16"/>
          <w:szCs w:val="16"/>
        </w:rPr>
        <w:t xml:space="preserve">l, or reputational damage to the business. </w:t>
      </w:r>
    </w:p>
    <w:p w:rsidR="00555D47" w:rsidRPr="00600C06" w:rsidP="00555D47">
      <w:pPr>
        <w:pStyle w:val="Wnormal0"/>
        <w:rPr>
          <w:color w:val="111111"/>
          <w:sz w:val="16"/>
          <w:szCs w:val="16"/>
        </w:rPr>
      </w:pPr>
      <w:r w:rsidRPr="00600C06">
        <w:rPr>
          <w:color w:val="111111"/>
          <w:sz w:val="16"/>
          <w:szCs w:val="16"/>
        </w:rPr>
        <w:t>The Group is a defendant in a number of legal cases that have arisen out of, or are incidental to, the ordinary course of its business. These lawsuits mainly concern issues such as contractual and other liability</w:t>
      </w:r>
      <w:r w:rsidRPr="00600C06">
        <w:rPr>
          <w:color w:val="111111"/>
          <w:sz w:val="16"/>
          <w:szCs w:val="16"/>
        </w:rPr>
        <w:t xml:space="preserve">, labour relations, property damage, and regulatory matters. From time to time, the Group receives claims of different amounts and with varying degrees of substantiation. There is currently one unusually sizeable claim. It is the Group’s policy to provide </w:t>
      </w:r>
      <w:r w:rsidRPr="00600C06">
        <w:rPr>
          <w:color w:val="111111"/>
          <w:sz w:val="16"/>
          <w:szCs w:val="16"/>
        </w:rPr>
        <w:t>for amounts related to the claims as well as for litigation and arbitration matters when an unfavourable outcome is probable and the amount of loss can be reasonably estimated.</w:t>
      </w:r>
    </w:p>
    <w:p w:rsidR="00B4426B" w:rsidRPr="00600C06" w:rsidP="00B3480E">
      <w:pPr>
        <w:pStyle w:val="Wnormal0"/>
        <w:rPr>
          <w:color w:val="111111"/>
          <w:sz w:val="16"/>
          <w:szCs w:val="16"/>
        </w:rPr>
      </w:pPr>
      <w:r w:rsidRPr="00B3480E">
        <w:rPr>
          <w:color w:val="111111"/>
          <w:sz w:val="16"/>
          <w:szCs w:val="16"/>
        </w:rPr>
        <w:t>The Risks and risk management section of the annual report</w:t>
      </w:r>
      <w:r>
        <w:rPr>
          <w:color w:val="111111"/>
          <w:sz w:val="16"/>
          <w:szCs w:val="16"/>
        </w:rPr>
        <w:t xml:space="preserve"> </w:t>
      </w:r>
      <w:r w:rsidRPr="00B3480E">
        <w:rPr>
          <w:color w:val="111111"/>
          <w:sz w:val="16"/>
          <w:szCs w:val="16"/>
        </w:rPr>
        <w:t>contains a more deta</w:t>
      </w:r>
      <w:r w:rsidRPr="00B3480E">
        <w:rPr>
          <w:color w:val="111111"/>
          <w:sz w:val="16"/>
          <w:szCs w:val="16"/>
        </w:rPr>
        <w:t>iled description of Wärtsilä’s risks and</w:t>
      </w:r>
      <w:r>
        <w:rPr>
          <w:color w:val="111111"/>
          <w:sz w:val="16"/>
          <w:szCs w:val="16"/>
        </w:rPr>
        <w:t xml:space="preserve"> </w:t>
      </w:r>
      <w:r w:rsidRPr="00B3480E">
        <w:rPr>
          <w:color w:val="111111"/>
          <w:sz w:val="16"/>
          <w:szCs w:val="16"/>
        </w:rPr>
        <w:t>risk management.</w:t>
      </w:r>
    </w:p>
    <w:p w:rsidR="00285854" w:rsidRPr="0027054E" w:rsidP="00A96469" w14:paraId="2EA53ACC" w14:textId="77777777">
      <w:pPr>
        <w:pStyle w:val="WHeading3"/>
      </w:pPr>
      <w:r w:rsidRPr="0027054E">
        <mc:AlternateContent>
          <mc:Choice Requires="wps">
            <w:drawing>
              <wp:anchor distT="45720" distB="45720" distL="114300" distR="114300" simplePos="0" relativeHeight="251665408" behindDoc="0" locked="0" layoutInCell="1" allowOverlap="1">
                <wp:simplePos x="0" y="0"/>
                <wp:positionH relativeFrom="rightMargin">
                  <wp:posOffset>-6545580</wp:posOffset>
                </wp:positionH>
                <wp:positionV relativeFrom="topMargin">
                  <wp:posOffset>1153160</wp:posOffset>
                </wp:positionV>
                <wp:extent cx="6933565" cy="2482850"/>
                <wp:effectExtent l="0" t="0" r="635" b="0"/>
                <wp:wrapSquare wrapText="bothSides"/>
                <wp:docPr id="913873697" name="Text Box 217"/>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6933565" cy="2482850"/>
                        </a:xfrm>
                        <a:prstGeom prst="rect">
                          <a:avLst/>
                        </a:prstGeom>
                        <a:solidFill>
                          <a:srgbClr val="FFFFFF"/>
                        </a:solidFill>
                        <a:ln w="9525">
                          <a:noFill/>
                          <a:miter lim="800000"/>
                          <a:headEnd/>
                          <a:tailEnd/>
                        </a:ln>
                      </wps:spPr>
                      <wps:txbx>
                        <w:txbxContent>
                          <w:p w:rsidR="00285854" w:rsidRPr="00F704BA" w:rsidP="00EF49B8" w14:textId="77777777">
                            <w:pPr>
                              <w:pStyle w:val="Subtitle"/>
                              <w:rPr>
                                <w:color w:val="0F172B"/>
                                <w:sz w:val="16"/>
                                <w:szCs w:val="16"/>
                              </w:rPr>
                            </w:pPr>
                            <w:r w:rsidRPr="00F704BA">
                              <w:rPr>
                                <w:color w:val="0F172B"/>
                                <w:sz w:val="16"/>
                                <w:szCs w:val="16"/>
                              </w:rPr>
                              <w:t>Wärtsilä shares on Nasdaq Helsinki</w:t>
                            </w:r>
                          </w:p>
                          <w:tbl>
                            <w:tblPr>
                              <w:tblStyle w:val="TableNormal"/>
                              <w:tblCaption w:val="Table_Shares_EN"/>
                              <w:tblW w:w="10125" w:type="dxa"/>
                              <w:tblLayout w:type="fixed"/>
                              <w:tblLook w:val="0600"/>
                            </w:tblPr>
                            <w:tblGrid>
                              <w:gridCol w:w="2820"/>
                              <w:gridCol w:w="1815"/>
                              <w:gridCol w:w="1830"/>
                              <w:gridCol w:w="1830"/>
                              <w:gridCol w:w="1830"/>
                            </w:tblGrid>
                            <w:tr>
                              <w:tblPrEx>
                                <w:tblW w:w="10125" w:type="dxa"/>
                                <w:tblLayout w:type="fixed"/>
                                <w:tblLook w:val="0600"/>
                              </w:tblPrEx>
                              <w:trPr>
                                <w:trHeight w:val="510"/>
                              </w:trPr>
                              <w:tc>
                                <w:tcPr>
                                  <w:tcW w:w="2820" w:type="dxa"/>
                                  <w:tcBorders>
                                    <w:top w:val="nil"/>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31.12.2021</w:t>
                                  </w:r>
                                </w:p>
                              </w:tc>
                              <w:tc>
                                <w:tcPr>
                                  <w:tcW w:w="1815" w:type="dxa"/>
                                  <w:tcBorders>
                                    <w:top w:val="nil"/>
                                    <w:left w:val="nil"/>
                                    <w:bottom w:val="single" w:sz="8" w:space="0" w:color="000000"/>
                                    <w:right w:val="nil"/>
                                    <w:tl2br w:val="nil"/>
                                    <w:tr2bl w:val="nil"/>
                                  </w:tcBorders>
                                  <w:shd w:val="clear" w:color="FFFFFF" w:fill="F0F4F6"/>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Number of shares outstanding</w:t>
                                  </w:r>
                                </w:p>
                              </w:tc>
                              <w:tc>
                                <w:tcPr>
                                  <w:tcW w:w="1830" w:type="dxa"/>
                                  <w:tcBorders>
                                    <w:top w:val="nil"/>
                                    <w:left w:val="nil"/>
                                    <w:bottom w:val="single" w:sz="8" w:space="0" w:color="000000"/>
                                    <w:right w:val="nil"/>
                                    <w:tl2br w:val="nil"/>
                                    <w:tr2bl w:val="nil"/>
                                  </w:tcBorders>
                                  <w:shd w:val="clear" w:color="FFFFFF" w:fill="F0F4F6"/>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Number of treasury shares</w:t>
                                  </w:r>
                                </w:p>
                              </w:tc>
                              <w:tc>
                                <w:tcPr>
                                  <w:tcW w:w="1830" w:type="dxa"/>
                                  <w:tcBorders>
                                    <w:top w:val="nil"/>
                                    <w:left w:val="nil"/>
                                    <w:bottom w:val="single" w:sz="8" w:space="0" w:color="000000"/>
                                    <w:right w:val="nil"/>
                                    <w:tl2br w:val="nil"/>
                                    <w:tr2bl w:val="nil"/>
                                  </w:tcBorders>
                                  <w:shd w:val="clear" w:color="FFFFFF" w:fill="F0F4F6"/>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Number of shares and votes</w:t>
                                  </w:r>
                                </w:p>
                              </w:tc>
                              <w:tc>
                                <w:tcPr>
                                  <w:tcW w:w="1830" w:type="dxa"/>
                                  <w:tcBorders>
                                    <w:top w:val="nil"/>
                                    <w:left w:val="nil"/>
                                    <w:bottom w:val="single" w:sz="8" w:space="0" w:color="000000"/>
                                    <w:right w:val="nil"/>
                                    <w:tl2br w:val="nil"/>
                                    <w:tr2bl w:val="nil"/>
                                  </w:tcBorders>
                                  <w:shd w:val="clear" w:color="FFFFFF" w:fill="F0F4F6"/>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Number of shares traded 1-12/2021</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WRT1V</w:t>
                                  </w:r>
                                </w:p>
                              </w:tc>
                              <w:tc>
                                <w:tcPr>
                                  <w:tcW w:w="181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590,023,390</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1,700,000</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591,723,390</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433,886,295</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p>
                              </w:tc>
                              <w:tc>
                                <w:tcPr>
                                  <w:tcW w:w="1815"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1.1.-31.12.2021</w:t>
                                  </w:r>
                                </w:p>
                              </w:tc>
                              <w:tc>
                                <w:tcPr>
                                  <w:tcW w:w="1815"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High</w:t>
                                  </w: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Low</w:t>
                                  </w: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Average*</w:t>
                                  </w: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Close</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820" w:type="dxa"/>
                                  <w:tcBorders>
                                    <w:top w:val="single" w:sz="8" w:space="0" w:color="000000"/>
                                    <w:left w:val="nil"/>
                                    <w:bottom w:val="single" w:sz="4" w:space="0" w:color="004B6B"/>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 xml:space="preserve">Share price </w:t>
                                  </w:r>
                                </w:p>
                              </w:tc>
                              <w:tc>
                                <w:tcPr>
                                  <w:tcW w:w="181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13.87</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7.78</w:t>
                                  </w:r>
                                </w:p>
                              </w:tc>
                              <w:tc>
                                <w:tcPr>
                                  <w:tcW w:w="1830" w:type="dxa"/>
                                  <w:tcBorders>
                                    <w:top w:val="single" w:sz="8" w:space="0" w:color="000000"/>
                                    <w:left w:val="nil"/>
                                    <w:bottom w:val="single" w:sz="4" w:space="0" w:color="000000"/>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10.51</w:t>
                                  </w:r>
                                </w:p>
                              </w:tc>
                              <w:tc>
                                <w:tcPr>
                                  <w:tcW w:w="1830" w:type="dxa"/>
                                  <w:tcBorders>
                                    <w:top w:val="single" w:sz="8" w:space="0" w:color="000000"/>
                                    <w:left w:val="nil"/>
                                    <w:bottom w:val="single" w:sz="4" w:space="0" w:color="000000"/>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12.36</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820" w:type="dxa"/>
                                  <w:tcBorders>
                                    <w:top w:val="single" w:sz="4" w:space="0" w:color="004B6B"/>
                                    <w:left w:val="nil"/>
                                    <w:bottom w:val="single" w:sz="4" w:space="0" w:color="004B6B"/>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*Trade-weighted average price</w:t>
                                  </w:r>
                                </w:p>
                              </w:tc>
                              <w:tc>
                                <w:tcPr>
                                  <w:tcW w:w="1815" w:type="dxa"/>
                                  <w:tcBorders>
                                    <w:top w:val="single" w:sz="4" w:space="0" w:color="004B6B"/>
                                    <w:left w:val="nil"/>
                                    <w:bottom w:val="single" w:sz="4" w:space="0" w:color="004B6B"/>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0000"/>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0000"/>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820" w:type="dxa"/>
                                  <w:tcBorders>
                                    <w:top w:val="single" w:sz="4" w:space="0" w:color="004B6B"/>
                                    <w:left w:val="nil"/>
                                    <w:bottom w:val="single" w:sz="4" w:space="0" w:color="004B6B"/>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p>
                              </w:tc>
                              <w:tc>
                                <w:tcPr>
                                  <w:tcW w:w="1815" w:type="dxa"/>
                                  <w:tcBorders>
                                    <w:top w:val="single" w:sz="4" w:space="0" w:color="004B6B"/>
                                    <w:left w:val="nil"/>
                                    <w:bottom w:val="single" w:sz="4" w:space="0" w:color="004B6B"/>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Market capitalisation</w:t>
                                  </w:r>
                                </w:p>
                              </w:tc>
                              <w:tc>
                                <w:tcPr>
                                  <w:tcW w:w="1815" w:type="dxa"/>
                                  <w:tcBorders>
                                    <w:top w:val="single" w:sz="4" w:space="0" w:color="004B6B"/>
                                    <w:left w:val="nil"/>
                                    <w:bottom w:val="single" w:sz="8" w:space="0" w:color="000000"/>
                                    <w:right w:val="nil"/>
                                    <w:tl2br w:val="nil"/>
                                    <w:tr2bl w:val="nil"/>
                                  </w:tcBorders>
                                  <w:shd w:val="clear" w:color="FFFFFF" w:fill="F0F4F6"/>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p>
                              </w:tc>
                              <w:tc>
                                <w:tcPr>
                                  <w:tcW w:w="1830" w:type="dxa"/>
                                  <w:tcBorders>
                                    <w:top w:val="single" w:sz="4" w:space="0" w:color="004B6B"/>
                                    <w:left w:val="nil"/>
                                    <w:bottom w:val="single" w:sz="8" w:space="0" w:color="000000"/>
                                    <w:right w:val="nil"/>
                                    <w:tl2br w:val="nil"/>
                                    <w:tr2bl w:val="nil"/>
                                  </w:tcBorders>
                                  <w:shd w:val="clear" w:color="FFFFFF" w:fill="F0F4F6"/>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31.12.2021</w:t>
                                  </w: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31.12.2020</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MEUR</w:t>
                                  </w:r>
                                </w:p>
                              </w:tc>
                              <w:tc>
                                <w:tcPr>
                                  <w:tcW w:w="1815" w:type="dxa"/>
                                  <w:tcBorders>
                                    <w:top w:val="single" w:sz="8" w:space="0" w:color="000000"/>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8" w:space="0" w:color="000000"/>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7,314</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4,823</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p>
                              </w:tc>
                              <w:tc>
                                <w:tcPr>
                                  <w:tcW w:w="1815"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Foreign shareholders</w:t>
                                  </w:r>
                                </w:p>
                              </w:tc>
                              <w:tc>
                                <w:tcPr>
                                  <w:tcW w:w="1815" w:type="dxa"/>
                                  <w:tcBorders>
                                    <w:top w:val="single" w:sz="4" w:space="0" w:color="004B6B"/>
                                    <w:left w:val="nil"/>
                                    <w:bottom w:val="single" w:sz="8" w:space="0" w:color="000000"/>
                                    <w:right w:val="nil"/>
                                    <w:tl2br w:val="nil"/>
                                    <w:tr2bl w:val="nil"/>
                                  </w:tcBorders>
                                  <w:shd w:val="clear" w:color="FFFFFF" w:fill="F0F4F6"/>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p>
                              </w:tc>
                              <w:tc>
                                <w:tcPr>
                                  <w:tcW w:w="1830" w:type="dxa"/>
                                  <w:tcBorders>
                                    <w:top w:val="single" w:sz="4" w:space="0" w:color="004B6B"/>
                                    <w:left w:val="nil"/>
                                    <w:bottom w:val="single" w:sz="8" w:space="0" w:color="000000"/>
                                    <w:right w:val="nil"/>
                                    <w:tl2br w:val="nil"/>
                                    <w:tr2bl w:val="nil"/>
                                  </w:tcBorders>
                                  <w:shd w:val="clear" w:color="FFFFFF" w:fill="F0F4F6"/>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31.12.2021</w:t>
                                  </w: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31.12.2020</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w:t>
                                  </w:r>
                                </w:p>
                              </w:tc>
                              <w:tc>
                                <w:tcPr>
                                  <w:tcW w:w="1815" w:type="dxa"/>
                                  <w:tcBorders>
                                    <w:top w:val="single" w:sz="8" w:space="0" w:color="000000"/>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8" w:space="0" w:color="000000"/>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52.7</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50.7</w:t>
                                  </w:r>
                                </w:p>
                              </w:tc>
                            </w:tr>
                          </w:tbl>
                          <w:p w:rsidR="00257451" w:rsidRPr="00257451" w:rsidP="00257451" w14:textId="77777777">
                            <w:pPr>
                              <w:rPr>
                                <w:lang w:val="fi-FI"/>
                              </w:rPr>
                            </w:pPr>
                          </w:p>
                          <w:p w:rsidR="00285854" w:rsidP="00285854" w14:textId="77777777">
                            <w:pPr>
                              <w:pStyle w:val="Wnormal0"/>
                              <w:spacing w:after="120"/>
                              <w:rPr>
                                <w:b/>
                                <w:bCs/>
                                <w:color w:val="FF7321"/>
                                <w:szCs w:val="17"/>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 id="Text Box 217" o:spid="_x0000_s1031" type="#_x0000_t202" style="width:545.95pt;height:195.5pt;margin-top:90.8pt;margin-left:-515.4pt;mso-height-percent:0;mso-height-relative:margin;mso-position-horizontal-relative:right-margin-area;mso-position-vertical-relative:top-margin-area;mso-width-percent:0;mso-width-relative:margin;mso-wrap-distance-bottom:3.6pt;mso-wrap-distance-left:9pt;mso-wrap-distance-right:9pt;mso-wrap-distance-top:3.6pt;position:absolute;v-text-anchor:top;z-index:251664384" fillcolor="white" stroked="f" strokeweight="0.75pt">
                <v:textbox>
                  <w:txbxContent>
                    <w:p w:rsidR="00285854" w:rsidRPr="00F704BA" w:rsidP="00EF49B8" w14:paraId="674CDF11" w14:textId="77777777">
                      <w:pPr>
                        <w:pStyle w:val="Subtitle"/>
                        <w:rPr>
                          <w:color w:val="0F172B"/>
                          <w:sz w:val="16"/>
                          <w:szCs w:val="16"/>
                        </w:rPr>
                      </w:pPr>
                      <w:r w:rsidRPr="00F704BA">
                        <w:rPr>
                          <w:color w:val="0F172B"/>
                          <w:sz w:val="16"/>
                          <w:szCs w:val="16"/>
                        </w:rPr>
                        <w:t>Wärtsilä shares on Nasdaq Helsinki</w:t>
                      </w:r>
                    </w:p>
                    <w:tbl>
                      <w:tblPr>
                        <w:tblStyle w:val="TableNormal"/>
                        <w:tblCaption w:val="Table_Shares_EN"/>
                        <w:tblW w:w="10125" w:type="dxa"/>
                        <w:tblLayout w:type="fixed"/>
                        <w:tblLook w:val="0600"/>
                      </w:tblPr>
                      <w:tblGrid>
                        <w:gridCol w:w="2820"/>
                        <w:gridCol w:w="1815"/>
                        <w:gridCol w:w="1830"/>
                        <w:gridCol w:w="1830"/>
                        <w:gridCol w:w="1830"/>
                      </w:tblGrid>
                      <w:tr>
                        <w:tblPrEx>
                          <w:tblW w:w="10125" w:type="dxa"/>
                          <w:tblLayout w:type="fixed"/>
                          <w:tblLook w:val="0600"/>
                        </w:tblPrEx>
                        <w:trPr>
                          <w:trHeight w:val="510"/>
                        </w:trPr>
                        <w:tc>
                          <w:tcPr>
                            <w:tcW w:w="2820" w:type="dxa"/>
                            <w:tcBorders>
                              <w:top w:val="nil"/>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31.12.2021</w:t>
                            </w:r>
                          </w:p>
                        </w:tc>
                        <w:tc>
                          <w:tcPr>
                            <w:tcW w:w="1815" w:type="dxa"/>
                            <w:tcBorders>
                              <w:top w:val="nil"/>
                              <w:left w:val="nil"/>
                              <w:bottom w:val="single" w:sz="8" w:space="0" w:color="000000"/>
                              <w:right w:val="nil"/>
                              <w:tl2br w:val="nil"/>
                              <w:tr2bl w:val="nil"/>
                            </w:tcBorders>
                            <w:shd w:val="clear" w:color="FFFFFF" w:fill="F0F4F6"/>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Number of shares outstanding</w:t>
                            </w:r>
                          </w:p>
                        </w:tc>
                        <w:tc>
                          <w:tcPr>
                            <w:tcW w:w="1830" w:type="dxa"/>
                            <w:tcBorders>
                              <w:top w:val="nil"/>
                              <w:left w:val="nil"/>
                              <w:bottom w:val="single" w:sz="8" w:space="0" w:color="000000"/>
                              <w:right w:val="nil"/>
                              <w:tl2br w:val="nil"/>
                              <w:tr2bl w:val="nil"/>
                            </w:tcBorders>
                            <w:shd w:val="clear" w:color="FFFFFF" w:fill="F0F4F6"/>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Number of treasury shares</w:t>
                            </w:r>
                          </w:p>
                        </w:tc>
                        <w:tc>
                          <w:tcPr>
                            <w:tcW w:w="1830" w:type="dxa"/>
                            <w:tcBorders>
                              <w:top w:val="nil"/>
                              <w:left w:val="nil"/>
                              <w:bottom w:val="single" w:sz="8" w:space="0" w:color="000000"/>
                              <w:right w:val="nil"/>
                              <w:tl2br w:val="nil"/>
                              <w:tr2bl w:val="nil"/>
                            </w:tcBorders>
                            <w:shd w:val="clear" w:color="FFFFFF" w:fill="F0F4F6"/>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Number of shares and votes</w:t>
                            </w:r>
                          </w:p>
                        </w:tc>
                        <w:tc>
                          <w:tcPr>
                            <w:tcW w:w="1830" w:type="dxa"/>
                            <w:tcBorders>
                              <w:top w:val="nil"/>
                              <w:left w:val="nil"/>
                              <w:bottom w:val="single" w:sz="8" w:space="0" w:color="000000"/>
                              <w:right w:val="nil"/>
                              <w:tl2br w:val="nil"/>
                              <w:tr2bl w:val="nil"/>
                            </w:tcBorders>
                            <w:shd w:val="clear" w:color="FFFFFF" w:fill="F0F4F6"/>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Number of shares traded 1-12/2021</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WRT1V</w:t>
                            </w:r>
                          </w:p>
                        </w:tc>
                        <w:tc>
                          <w:tcPr>
                            <w:tcW w:w="181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590,023,390</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1,700,000</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591,723,390</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433,886,295</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p>
                        </w:tc>
                        <w:tc>
                          <w:tcPr>
                            <w:tcW w:w="1815"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1.1.-31.12.2021</w:t>
                            </w:r>
                          </w:p>
                        </w:tc>
                        <w:tc>
                          <w:tcPr>
                            <w:tcW w:w="1815"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High</w:t>
                            </w: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Low</w:t>
                            </w: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Average*</w:t>
                            </w: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Close</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820" w:type="dxa"/>
                            <w:tcBorders>
                              <w:top w:val="single" w:sz="8" w:space="0" w:color="000000"/>
                              <w:left w:val="nil"/>
                              <w:bottom w:val="single" w:sz="4" w:space="0" w:color="004B6B"/>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 xml:space="preserve">Share price </w:t>
                            </w:r>
                          </w:p>
                        </w:tc>
                        <w:tc>
                          <w:tcPr>
                            <w:tcW w:w="181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13.87</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7.78</w:t>
                            </w:r>
                          </w:p>
                        </w:tc>
                        <w:tc>
                          <w:tcPr>
                            <w:tcW w:w="1830" w:type="dxa"/>
                            <w:tcBorders>
                              <w:top w:val="single" w:sz="8" w:space="0" w:color="000000"/>
                              <w:left w:val="nil"/>
                              <w:bottom w:val="single" w:sz="4" w:space="0" w:color="000000"/>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10.51</w:t>
                            </w:r>
                          </w:p>
                        </w:tc>
                        <w:tc>
                          <w:tcPr>
                            <w:tcW w:w="1830" w:type="dxa"/>
                            <w:tcBorders>
                              <w:top w:val="single" w:sz="8" w:space="0" w:color="000000"/>
                              <w:left w:val="nil"/>
                              <w:bottom w:val="single" w:sz="4" w:space="0" w:color="000000"/>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12.36</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820" w:type="dxa"/>
                            <w:tcBorders>
                              <w:top w:val="single" w:sz="4" w:space="0" w:color="004B6B"/>
                              <w:left w:val="nil"/>
                              <w:bottom w:val="single" w:sz="4" w:space="0" w:color="004B6B"/>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*Trade-weighted average price</w:t>
                            </w:r>
                          </w:p>
                        </w:tc>
                        <w:tc>
                          <w:tcPr>
                            <w:tcW w:w="1815" w:type="dxa"/>
                            <w:tcBorders>
                              <w:top w:val="single" w:sz="4" w:space="0" w:color="004B6B"/>
                              <w:left w:val="nil"/>
                              <w:bottom w:val="single" w:sz="4" w:space="0" w:color="004B6B"/>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0000"/>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0000"/>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820" w:type="dxa"/>
                            <w:tcBorders>
                              <w:top w:val="single" w:sz="4" w:space="0" w:color="004B6B"/>
                              <w:left w:val="nil"/>
                              <w:bottom w:val="single" w:sz="4" w:space="0" w:color="004B6B"/>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p>
                        </w:tc>
                        <w:tc>
                          <w:tcPr>
                            <w:tcW w:w="1815" w:type="dxa"/>
                            <w:tcBorders>
                              <w:top w:val="single" w:sz="4" w:space="0" w:color="004B6B"/>
                              <w:left w:val="nil"/>
                              <w:bottom w:val="single" w:sz="4" w:space="0" w:color="004B6B"/>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Market capitalisation</w:t>
                            </w:r>
                          </w:p>
                        </w:tc>
                        <w:tc>
                          <w:tcPr>
                            <w:tcW w:w="1815" w:type="dxa"/>
                            <w:tcBorders>
                              <w:top w:val="single" w:sz="4" w:space="0" w:color="004B6B"/>
                              <w:left w:val="nil"/>
                              <w:bottom w:val="single" w:sz="8" w:space="0" w:color="000000"/>
                              <w:right w:val="nil"/>
                              <w:tl2br w:val="nil"/>
                              <w:tr2bl w:val="nil"/>
                            </w:tcBorders>
                            <w:shd w:val="clear" w:color="FFFFFF" w:fill="F0F4F6"/>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p>
                        </w:tc>
                        <w:tc>
                          <w:tcPr>
                            <w:tcW w:w="1830" w:type="dxa"/>
                            <w:tcBorders>
                              <w:top w:val="single" w:sz="4" w:space="0" w:color="004B6B"/>
                              <w:left w:val="nil"/>
                              <w:bottom w:val="single" w:sz="8" w:space="0" w:color="000000"/>
                              <w:right w:val="nil"/>
                              <w:tl2br w:val="nil"/>
                              <w:tr2bl w:val="nil"/>
                            </w:tcBorders>
                            <w:shd w:val="clear" w:color="FFFFFF" w:fill="F0F4F6"/>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31.12.2021</w:t>
                            </w: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31.12.2020</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MEUR</w:t>
                            </w:r>
                          </w:p>
                        </w:tc>
                        <w:tc>
                          <w:tcPr>
                            <w:tcW w:w="1815" w:type="dxa"/>
                            <w:tcBorders>
                              <w:top w:val="single" w:sz="8" w:space="0" w:color="000000"/>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8" w:space="0" w:color="000000"/>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7,314</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4,823</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p>
                        </w:tc>
                        <w:tc>
                          <w:tcPr>
                            <w:tcW w:w="1815"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Foreign shareholders</w:t>
                            </w:r>
                          </w:p>
                        </w:tc>
                        <w:tc>
                          <w:tcPr>
                            <w:tcW w:w="1815" w:type="dxa"/>
                            <w:tcBorders>
                              <w:top w:val="single" w:sz="4" w:space="0" w:color="004B6B"/>
                              <w:left w:val="nil"/>
                              <w:bottom w:val="single" w:sz="8" w:space="0" w:color="000000"/>
                              <w:right w:val="nil"/>
                              <w:tl2br w:val="nil"/>
                              <w:tr2bl w:val="nil"/>
                            </w:tcBorders>
                            <w:shd w:val="clear" w:color="FFFFFF" w:fill="F0F4F6"/>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p>
                        </w:tc>
                        <w:tc>
                          <w:tcPr>
                            <w:tcW w:w="1830" w:type="dxa"/>
                            <w:tcBorders>
                              <w:top w:val="single" w:sz="4" w:space="0" w:color="004B6B"/>
                              <w:left w:val="nil"/>
                              <w:bottom w:val="single" w:sz="8" w:space="0" w:color="000000"/>
                              <w:right w:val="nil"/>
                              <w:tl2br w:val="nil"/>
                              <w:tr2bl w:val="nil"/>
                            </w:tcBorders>
                            <w:shd w:val="clear" w:color="FFFFFF" w:fill="F0F4F6"/>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31.12.2021</w:t>
                            </w: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31.12.2020</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w:t>
                            </w:r>
                          </w:p>
                        </w:tc>
                        <w:tc>
                          <w:tcPr>
                            <w:tcW w:w="1815" w:type="dxa"/>
                            <w:tcBorders>
                              <w:top w:val="single" w:sz="8" w:space="0" w:color="000000"/>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8" w:space="0" w:color="000000"/>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52.7</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50.7</w:t>
                            </w:r>
                          </w:p>
                        </w:tc>
                      </w:tr>
                    </w:tbl>
                    <w:p w:rsidR="00257451" w:rsidRPr="00257451" w:rsidP="00257451" w14:paraId="0B16723D" w14:textId="77777777">
                      <w:pPr>
                        <w:rPr>
                          <w:lang w:val="fi-FI"/>
                        </w:rPr>
                      </w:pPr>
                    </w:p>
                    <w:p w:rsidR="00285854" w:rsidP="00285854" w14:paraId="77293738" w14:textId="77777777">
                      <w:pPr>
                        <w:pStyle w:val="Wnormal0"/>
                        <w:spacing w:after="120"/>
                        <w:rPr>
                          <w:b/>
                          <w:bCs/>
                          <w:color w:val="FF7321"/>
                          <w:szCs w:val="17"/>
                        </w:rPr>
                      </w:pPr>
                    </w:p>
                  </w:txbxContent>
                </v:textbox>
                <w10:wrap type="square"/>
              </v:shape>
            </w:pict>
          </mc:Fallback>
        </mc:AlternateContent>
      </w:r>
      <w:bookmarkStart w:id="26" w:name="RG_MARKER_7308"/>
      <w:r w:rsidRPr="0027054E">
        <w:t>Shares and shareholders</w:t>
      </w:r>
      <w:bookmarkEnd w:id="26"/>
    </w:p>
    <w:p w:rsidR="00D86799" w:rsidRPr="00F704BA" w:rsidP="00D86799" w14:paraId="13CD6A18" w14:textId="77777777">
      <w:pPr>
        <w:pStyle w:val="Wnormal0"/>
        <w:rPr>
          <w:sz w:val="16"/>
          <w:szCs w:val="14"/>
          <w:lang w:val="en-GB"/>
        </w:rPr>
      </w:pPr>
      <w:r w:rsidRPr="00F704BA">
        <w:rPr>
          <w:sz w:val="16"/>
          <w:szCs w:val="14"/>
          <w:lang w:val="en-GB"/>
        </w:rPr>
        <w:t>In</w:t>
      </w:r>
      <w:r w:rsidRPr="00F704BA" w:rsidR="00C42653">
        <w:rPr>
          <w:sz w:val="16"/>
          <w:szCs w:val="14"/>
          <w:lang w:val="en-GB"/>
        </w:rPr>
        <w:t xml:space="preserve"> </w:t>
      </w:r>
      <w:r w:rsidRPr="00F704BA">
        <w:rPr>
          <w:sz w:val="16"/>
          <w:szCs w:val="14"/>
          <w:lang w:val="en-GB"/>
        </w:rPr>
        <w:t>2021</w:t>
      </w:r>
      <w:r w:rsidRPr="00F704BA">
        <w:rPr>
          <w:sz w:val="16"/>
          <w:szCs w:val="14"/>
          <w:lang w:val="en-GB"/>
        </w:rPr>
        <w:t xml:space="preserve">, the number of shares traded on Nasdaq Helsinki was </w:t>
      </w:r>
      <w:r w:rsidRPr="00F704BA">
        <w:rPr>
          <w:sz w:val="16"/>
          <w:szCs w:val="14"/>
          <w:lang w:val="en-GB"/>
        </w:rPr>
        <w:t>433,886,295</w:t>
      </w:r>
      <w:r w:rsidRPr="00F704BA">
        <w:rPr>
          <w:sz w:val="16"/>
          <w:szCs w:val="14"/>
          <w:lang w:val="en-GB"/>
        </w:rPr>
        <w:t xml:space="preserve">, equivalent to a turnover of EUR </w:t>
      </w:r>
      <w:r w:rsidRPr="00F704BA">
        <w:rPr>
          <w:sz w:val="16"/>
          <w:szCs w:val="14"/>
          <w:lang w:val="en-GB"/>
        </w:rPr>
        <w:t>4,561</w:t>
      </w:r>
      <w:r w:rsidRPr="00F704BA">
        <w:rPr>
          <w:sz w:val="16"/>
          <w:szCs w:val="14"/>
          <w:lang w:val="en-GB"/>
        </w:rPr>
        <w:t xml:space="preserve"> million. Wärtsilä's shares are also traded on alternative exchanges, such as Turquoise, BATS CXE, and BATS BXE. The total trading volume on these alternative exchanges was </w:t>
      </w:r>
      <w:r w:rsidRPr="00F704BA">
        <w:rPr>
          <w:sz w:val="16"/>
          <w:szCs w:val="14"/>
          <w:lang w:val="en-GB"/>
        </w:rPr>
        <w:t>32,692,101</w:t>
      </w:r>
      <w:r w:rsidRPr="00F704BA">
        <w:rPr>
          <w:sz w:val="16"/>
          <w:szCs w:val="14"/>
          <w:lang w:val="en-GB"/>
        </w:rPr>
        <w:t xml:space="preserve"> shares.</w:t>
      </w:r>
    </w:p>
    <w:p w:rsidR="00D86799" w:rsidRPr="0027054E" w:rsidP="00D86799" w14:paraId="4A6BE738" w14:textId="77777777">
      <w:pPr>
        <w:pStyle w:val="WHeading3"/>
      </w:pPr>
      <w:r w:rsidRPr="0027054E">
        <w:t>Flagging notifications</w:t>
      </w:r>
    </w:p>
    <w:p w:rsidR="004B441D" w:rsidRPr="00F704BA" w:rsidP="00D86799" w14:paraId="28923AA5" w14:textId="77777777">
      <w:pPr>
        <w:pStyle w:val="Wnormal0"/>
        <w:rPr>
          <w:sz w:val="16"/>
          <w:szCs w:val="14"/>
          <w:lang w:val="en-GB"/>
        </w:rPr>
      </w:pPr>
      <w:r w:rsidRPr="00F704BA">
        <w:rPr>
          <w:sz w:val="16"/>
          <w:szCs w:val="14"/>
          <w:lang w:val="en-GB"/>
        </w:rPr>
        <w:t>Wärtsilä was not informed of any changes in ownership during 2021.</w:t>
      </w:r>
    </w:p>
    <w:p w:rsidR="00005EB7" w:rsidRPr="00111163" w:rsidP="00CC7BD2">
      <w:pPr>
        <w:pStyle w:val="WHeadingException1"/>
        <w:spacing w:before="0"/>
        <w:rPr>
          <w:b/>
          <w:bCs/>
          <w:sz w:val="17"/>
          <w:szCs w:val="17"/>
        </w:rPr>
      </w:pPr>
      <w:bookmarkStart w:id="27" w:name="RG_MARKER_7487"/>
      <w:r w:rsidRPr="0073417C">
        <w:rPr>
          <w:b/>
          <w:bCs/>
          <w:sz w:val="17"/>
          <w:szCs w:val="17"/>
        </w:rPr>
        <w:t>Decisions taken by the Annual General Meeting</w:t>
      </w:r>
      <w:bookmarkEnd w:id="27"/>
    </w:p>
    <w:p w:rsidR="00005EB7" w:rsidRPr="00782316" w:rsidP="00451945">
      <w:pPr>
        <w:pStyle w:val="Wnormal0"/>
        <w:rPr>
          <w:sz w:val="16"/>
          <w:szCs w:val="16"/>
        </w:rPr>
      </w:pPr>
      <w:r w:rsidRPr="00497F85">
        <w:rPr>
          <w:sz w:val="16"/>
          <w:szCs w:val="16"/>
        </w:rPr>
        <w:t xml:space="preserve">Wärtsilä’s Annual General Meeting, held on </w:t>
      </w:r>
      <w:r w:rsidRPr="00497F85" w:rsidR="00CC7BD2">
        <w:rPr>
          <w:sz w:val="16"/>
          <w:szCs w:val="16"/>
        </w:rPr>
        <w:t>4</w:t>
      </w:r>
      <w:r w:rsidRPr="00497F85">
        <w:rPr>
          <w:sz w:val="16"/>
          <w:szCs w:val="16"/>
        </w:rPr>
        <w:t xml:space="preserve"> March 202</w:t>
      </w:r>
      <w:r w:rsidRPr="00497F85" w:rsidR="00CC7BD2">
        <w:rPr>
          <w:sz w:val="16"/>
          <w:szCs w:val="16"/>
        </w:rPr>
        <w:t>1</w:t>
      </w:r>
      <w:r w:rsidRPr="00497F85">
        <w:rPr>
          <w:sz w:val="16"/>
          <w:szCs w:val="16"/>
        </w:rPr>
        <w:t xml:space="preserve">, </w:t>
      </w:r>
      <w:r w:rsidRPr="00F62C6C">
        <w:rPr>
          <w:sz w:val="16"/>
          <w:szCs w:val="16"/>
        </w:rPr>
        <w:t xml:space="preserve">approved the financial statements, reviewed the Remuneration Policy and Remuneration Report 2020 for Governing Bodies, and discharged the members of </w:t>
      </w:r>
      <w:r w:rsidRPr="00F62C6C">
        <w:rPr>
          <w:sz w:val="16"/>
          <w:szCs w:val="16"/>
        </w:rPr>
        <w:t>the Board of Directors and the company’s President &amp; CEO from liability for the financial year 2020</w:t>
      </w:r>
      <w:r w:rsidRPr="00497F85">
        <w:rPr>
          <w:sz w:val="16"/>
          <w:szCs w:val="16"/>
        </w:rPr>
        <w:t>.</w:t>
      </w:r>
    </w:p>
    <w:p w:rsidR="00005EB7" w:rsidRPr="00782316" w:rsidP="00451945">
      <w:pPr>
        <w:pStyle w:val="Wnormal0"/>
        <w:rPr>
          <w:sz w:val="16"/>
          <w:szCs w:val="16"/>
        </w:rPr>
      </w:pPr>
      <w:r w:rsidRPr="00782316">
        <w:rPr>
          <w:sz w:val="16"/>
          <w:szCs w:val="16"/>
        </w:rPr>
        <w:t xml:space="preserve">The Annual General Meeting decided that the Board of Directors shall have eight members. The following were elected to the Board: </w:t>
      </w:r>
      <w:r w:rsidRPr="00782316">
        <w:rPr>
          <w:sz w:val="16"/>
          <w:szCs w:val="16"/>
        </w:rPr>
        <w:t>Maarit</w:t>
      </w:r>
      <w:r w:rsidRPr="00782316">
        <w:rPr>
          <w:sz w:val="16"/>
          <w:szCs w:val="16"/>
        </w:rPr>
        <w:t xml:space="preserve"> </w:t>
      </w:r>
      <w:r w:rsidRPr="00782316">
        <w:rPr>
          <w:sz w:val="16"/>
          <w:szCs w:val="16"/>
        </w:rPr>
        <w:t>Aarni-Sirviö</w:t>
      </w:r>
      <w:r w:rsidRPr="00782316">
        <w:rPr>
          <w:sz w:val="16"/>
          <w:szCs w:val="16"/>
        </w:rPr>
        <w:t>, Kare</w:t>
      </w:r>
      <w:r w:rsidRPr="00782316">
        <w:rPr>
          <w:sz w:val="16"/>
          <w:szCs w:val="16"/>
        </w:rPr>
        <w:t xml:space="preserve">n </w:t>
      </w:r>
      <w:r w:rsidRPr="00782316">
        <w:rPr>
          <w:sz w:val="16"/>
          <w:szCs w:val="16"/>
        </w:rPr>
        <w:t>Bomba</w:t>
      </w:r>
      <w:r w:rsidRPr="00782316">
        <w:rPr>
          <w:sz w:val="16"/>
          <w:szCs w:val="16"/>
        </w:rPr>
        <w:t xml:space="preserve">, Karin Falk, Johan Forssell, Tom Johnstone, Risto </w:t>
      </w:r>
      <w:r w:rsidRPr="00782316">
        <w:rPr>
          <w:sz w:val="16"/>
          <w:szCs w:val="16"/>
        </w:rPr>
        <w:t>Murto</w:t>
      </w:r>
      <w:r w:rsidRPr="00782316">
        <w:rPr>
          <w:sz w:val="16"/>
          <w:szCs w:val="16"/>
        </w:rPr>
        <w:t xml:space="preserve">, Mats </w:t>
      </w:r>
      <w:r w:rsidRPr="00782316">
        <w:rPr>
          <w:sz w:val="16"/>
          <w:szCs w:val="16"/>
        </w:rPr>
        <w:t>Rahmström</w:t>
      </w:r>
      <w:r>
        <w:rPr>
          <w:sz w:val="16"/>
          <w:szCs w:val="16"/>
        </w:rPr>
        <w:t>,</w:t>
      </w:r>
      <w:r w:rsidRPr="00782316">
        <w:rPr>
          <w:sz w:val="16"/>
          <w:szCs w:val="16"/>
        </w:rPr>
        <w:t xml:space="preserve"> and </w:t>
      </w:r>
      <w:r w:rsidR="00CC7BD2">
        <w:rPr>
          <w:sz w:val="16"/>
          <w:szCs w:val="16"/>
        </w:rPr>
        <w:t>Tiina Tuomela</w:t>
      </w:r>
      <w:r w:rsidRPr="00782316">
        <w:rPr>
          <w:sz w:val="16"/>
          <w:szCs w:val="16"/>
        </w:rPr>
        <w:t>.</w:t>
      </w:r>
    </w:p>
    <w:p w:rsidR="00403AA6" w:rsidRPr="00782316" w:rsidP="00451945">
      <w:pPr>
        <w:pStyle w:val="Wnormal0"/>
        <w:rPr>
          <w:sz w:val="16"/>
          <w:szCs w:val="16"/>
        </w:rPr>
      </w:pPr>
      <w:r w:rsidRPr="00782316">
        <w:rPr>
          <w:sz w:val="16"/>
          <w:szCs w:val="16"/>
        </w:rPr>
        <w:t>The audit firm PricewaterhouseCoopers Oy was elected as the company’s auditor for the year 202</w:t>
      </w:r>
      <w:r w:rsidR="00CC7BD2">
        <w:rPr>
          <w:sz w:val="16"/>
          <w:szCs w:val="16"/>
        </w:rPr>
        <w:t>1</w:t>
      </w:r>
      <w:r w:rsidRPr="00782316">
        <w:rPr>
          <w:sz w:val="16"/>
          <w:szCs w:val="16"/>
        </w:rPr>
        <w:t>.</w:t>
      </w:r>
    </w:p>
    <w:p w:rsidR="00D37CFA" w:rsidRPr="00CC7BD2" w:rsidP="00CC7BD2">
      <w:pPr>
        <w:pStyle w:val="WHeading40"/>
        <w:spacing w:before="0"/>
        <w:rPr>
          <w:b/>
          <w:bCs/>
          <w:sz w:val="16"/>
          <w:szCs w:val="16"/>
        </w:rPr>
      </w:pPr>
      <w:r w:rsidRPr="00CC7BD2">
        <w:rPr>
          <w:b/>
          <w:bCs/>
          <w:sz w:val="16"/>
          <w:szCs w:val="16"/>
        </w:rPr>
        <w:t>Dividend distribution</w:t>
      </w:r>
    </w:p>
    <w:p w:rsidR="00D37CFA" w:rsidRPr="00782316" w:rsidP="00451945">
      <w:pPr>
        <w:pStyle w:val="Wnormal0"/>
        <w:rPr>
          <w:sz w:val="16"/>
          <w:szCs w:val="16"/>
        </w:rPr>
      </w:pPr>
      <w:r w:rsidRPr="00782316">
        <w:rPr>
          <w:sz w:val="16"/>
          <w:szCs w:val="16"/>
        </w:rPr>
        <w:t>The Annual General Meeting approved t</w:t>
      </w:r>
      <w:r w:rsidRPr="00782316">
        <w:rPr>
          <w:sz w:val="16"/>
          <w:szCs w:val="16"/>
        </w:rPr>
        <w:t>he Board of Directors’ proposal to pay a dividend of EUR 0.</w:t>
      </w:r>
      <w:r w:rsidR="00CC7BD2">
        <w:rPr>
          <w:sz w:val="16"/>
          <w:szCs w:val="16"/>
        </w:rPr>
        <w:t>20</w:t>
      </w:r>
      <w:r w:rsidRPr="00782316">
        <w:rPr>
          <w:sz w:val="16"/>
          <w:szCs w:val="16"/>
        </w:rPr>
        <w:t xml:space="preserve"> per share in two instalments. The first instalment of EUR 0.</w:t>
      </w:r>
      <w:r w:rsidR="00CC7BD2">
        <w:rPr>
          <w:sz w:val="16"/>
          <w:szCs w:val="16"/>
        </w:rPr>
        <w:t>10</w:t>
      </w:r>
      <w:r w:rsidRPr="00782316">
        <w:rPr>
          <w:sz w:val="16"/>
          <w:szCs w:val="16"/>
        </w:rPr>
        <w:t xml:space="preserve"> per share was paid on 1</w:t>
      </w:r>
      <w:r w:rsidR="00351D18">
        <w:rPr>
          <w:sz w:val="16"/>
          <w:szCs w:val="16"/>
        </w:rPr>
        <w:t>5</w:t>
      </w:r>
      <w:r w:rsidRPr="00782316">
        <w:rPr>
          <w:sz w:val="16"/>
          <w:szCs w:val="16"/>
        </w:rPr>
        <w:t xml:space="preserve"> March 202</w:t>
      </w:r>
      <w:r w:rsidR="00351D18">
        <w:rPr>
          <w:sz w:val="16"/>
          <w:szCs w:val="16"/>
        </w:rPr>
        <w:t>1</w:t>
      </w:r>
      <w:r w:rsidRPr="00782316">
        <w:rPr>
          <w:sz w:val="16"/>
          <w:szCs w:val="16"/>
        </w:rPr>
        <w:t xml:space="preserve"> and the second instalment of EUR 0.</w:t>
      </w:r>
      <w:r w:rsidR="00351D18">
        <w:rPr>
          <w:sz w:val="16"/>
          <w:szCs w:val="16"/>
        </w:rPr>
        <w:t>10</w:t>
      </w:r>
      <w:r w:rsidRPr="00782316">
        <w:rPr>
          <w:sz w:val="16"/>
          <w:szCs w:val="16"/>
        </w:rPr>
        <w:t xml:space="preserve"> per share on </w:t>
      </w:r>
      <w:r w:rsidR="00351D18">
        <w:rPr>
          <w:sz w:val="16"/>
          <w:szCs w:val="16"/>
        </w:rPr>
        <w:t>20</w:t>
      </w:r>
      <w:r w:rsidRPr="00782316">
        <w:rPr>
          <w:sz w:val="16"/>
          <w:szCs w:val="16"/>
        </w:rPr>
        <w:t xml:space="preserve"> September 202</w:t>
      </w:r>
      <w:r w:rsidR="00351D18">
        <w:rPr>
          <w:sz w:val="16"/>
          <w:szCs w:val="16"/>
        </w:rPr>
        <w:t>1</w:t>
      </w:r>
      <w:r w:rsidRPr="00782316">
        <w:rPr>
          <w:sz w:val="16"/>
          <w:szCs w:val="16"/>
        </w:rPr>
        <w:t>.</w:t>
      </w:r>
    </w:p>
    <w:p w:rsidR="008E4478" w:rsidRPr="00CC7BD2" w:rsidP="00CC7BD2">
      <w:pPr>
        <w:pStyle w:val="WHeading40"/>
        <w:spacing w:before="0"/>
        <w:rPr>
          <w:b/>
          <w:bCs/>
          <w:sz w:val="16"/>
          <w:szCs w:val="12"/>
        </w:rPr>
      </w:pPr>
      <w:r w:rsidRPr="00CC7BD2">
        <w:rPr>
          <w:b/>
          <w:bCs/>
          <w:sz w:val="16"/>
          <w:szCs w:val="12"/>
        </w:rPr>
        <w:t>Authorisation</w:t>
      </w:r>
      <w:r w:rsidRPr="00CC7BD2">
        <w:rPr>
          <w:b/>
          <w:bCs/>
          <w:sz w:val="16"/>
          <w:szCs w:val="12"/>
        </w:rPr>
        <w:t xml:space="preserve"> to repurcha</w:t>
      </w:r>
      <w:r w:rsidRPr="00CC7BD2">
        <w:rPr>
          <w:b/>
          <w:bCs/>
          <w:sz w:val="16"/>
          <w:szCs w:val="12"/>
        </w:rPr>
        <w:t>se the company’s own shares</w:t>
      </w:r>
    </w:p>
    <w:p w:rsidR="008E4478" w:rsidRPr="00782316" w:rsidP="00451945">
      <w:pPr>
        <w:pStyle w:val="Wnormal0"/>
        <w:rPr>
          <w:sz w:val="16"/>
          <w:szCs w:val="16"/>
        </w:rPr>
      </w:pPr>
      <w:r w:rsidRPr="00F62C6C">
        <w:rPr>
          <w:sz w:val="16"/>
          <w:szCs w:val="16"/>
        </w:rPr>
        <w:t xml:space="preserve">The Board of Directors was authorised to resolve to repurchase a maximum of 57,000,000 shares in the Company. Shares may be repurchased also otherwise than in proportion to the shareholders’ holding in the Company. The </w:t>
      </w:r>
      <w:r w:rsidRPr="00F62C6C">
        <w:rPr>
          <w:sz w:val="16"/>
          <w:szCs w:val="16"/>
        </w:rPr>
        <w:t>authorisation to repurchase the Company’s own shares shall be valid until the close of the next Annual General Meeting, however no longer than for 18 months from the decision by the Annual General Meeting.</w:t>
      </w:r>
    </w:p>
    <w:p w:rsidR="008E4478" w:rsidRPr="00CC7BD2" w:rsidP="00CC7BD2">
      <w:pPr>
        <w:pStyle w:val="WHeading40"/>
        <w:spacing w:before="0"/>
        <w:rPr>
          <w:b/>
          <w:bCs/>
          <w:sz w:val="16"/>
          <w:szCs w:val="12"/>
        </w:rPr>
      </w:pPr>
      <w:r w:rsidRPr="00CC7BD2">
        <w:rPr>
          <w:b/>
          <w:bCs/>
          <w:sz w:val="16"/>
          <w:szCs w:val="12"/>
        </w:rPr>
        <w:t>Authorisation</w:t>
      </w:r>
      <w:r w:rsidRPr="00CC7BD2">
        <w:rPr>
          <w:b/>
          <w:bCs/>
          <w:sz w:val="16"/>
          <w:szCs w:val="12"/>
        </w:rPr>
        <w:t xml:space="preserve"> to issue shares</w:t>
      </w:r>
    </w:p>
    <w:p w:rsidR="008E4478" w:rsidRPr="00782316" w:rsidP="00451945">
      <w:pPr>
        <w:pStyle w:val="Wnormal0"/>
        <w:rPr>
          <w:sz w:val="16"/>
          <w:szCs w:val="16"/>
        </w:rPr>
      </w:pPr>
      <w:r w:rsidRPr="00F62C6C">
        <w:rPr>
          <w:sz w:val="16"/>
          <w:szCs w:val="16"/>
        </w:rPr>
        <w:t>The Board of Directo</w:t>
      </w:r>
      <w:r w:rsidRPr="00F62C6C">
        <w:rPr>
          <w:sz w:val="16"/>
          <w:szCs w:val="16"/>
        </w:rPr>
        <w:t>rs was authorised to resolve to issue a maximum of 57,000,000 shares in the Company. The shares can be issued for consideration or without consideration. They can also be issued in deviation from the shareholders’ pre-emptive rights by way of a directed is</w:t>
      </w:r>
      <w:r w:rsidRPr="00F62C6C">
        <w:rPr>
          <w:sz w:val="16"/>
          <w:szCs w:val="16"/>
        </w:rPr>
        <w:t>sue if there is a weighty financial reason for the Company to do so. A directed issue may be decided upon to develop the capital structure of the Company or to finance or carry out acquisitions or other arrangements. Additionally, the authorisation can als</w:t>
      </w:r>
      <w:r w:rsidRPr="00F62C6C">
        <w:rPr>
          <w:sz w:val="16"/>
          <w:szCs w:val="16"/>
        </w:rPr>
        <w:t>o be used as part of the Company’s incentive schemes for up to 10,000,000 shares, which represents 1.69% of all the shares in the Company. The authorisation for the Board of Directors to issue shares shall be valid for 18 months from the decision by the An</w:t>
      </w:r>
      <w:r w:rsidRPr="00F62C6C">
        <w:rPr>
          <w:sz w:val="16"/>
          <w:szCs w:val="16"/>
        </w:rPr>
        <w:t>nual General Meeting. However, the authorisation regarding incentive schemes shall be valid for five years from the decision. This authorisation revokes the authorisation given by the Annual General Meeting on 5 March 2020 to issue shares.</w:t>
      </w:r>
    </w:p>
    <w:p w:rsidR="007D4159" w:rsidRPr="00CC7BD2" w:rsidP="00CC7BD2">
      <w:pPr>
        <w:pStyle w:val="WHeading40"/>
        <w:spacing w:before="0"/>
        <w:rPr>
          <w:b/>
          <w:bCs/>
          <w:sz w:val="16"/>
          <w:szCs w:val="16"/>
        </w:rPr>
      </w:pPr>
      <w:r w:rsidRPr="00CC7BD2">
        <w:rPr>
          <w:b/>
          <w:bCs/>
          <w:sz w:val="16"/>
          <w:szCs w:val="16"/>
        </w:rPr>
        <w:t>Organisation</w:t>
      </w:r>
      <w:r w:rsidRPr="00CC7BD2">
        <w:rPr>
          <w:b/>
          <w:bCs/>
          <w:sz w:val="16"/>
          <w:szCs w:val="16"/>
        </w:rPr>
        <w:t xml:space="preserve"> of </w:t>
      </w:r>
      <w:r w:rsidRPr="00CC7BD2">
        <w:rPr>
          <w:b/>
          <w:bCs/>
          <w:sz w:val="16"/>
          <w:szCs w:val="16"/>
        </w:rPr>
        <w:t>the Board of Directors</w:t>
      </w:r>
    </w:p>
    <w:p w:rsidR="007D4159" w:rsidRPr="00782316" w:rsidP="00451945">
      <w:pPr>
        <w:pStyle w:val="Wnormal0"/>
        <w:rPr>
          <w:sz w:val="16"/>
          <w:szCs w:val="16"/>
        </w:rPr>
      </w:pPr>
      <w:r w:rsidRPr="00497F85">
        <w:rPr>
          <w:sz w:val="16"/>
          <w:szCs w:val="16"/>
        </w:rPr>
        <w:t xml:space="preserve">Convening after the Annual General Meeting, the Board of Directors elected Tom Johnstone as its Chair and Risto </w:t>
      </w:r>
      <w:r w:rsidRPr="00497F85">
        <w:rPr>
          <w:sz w:val="16"/>
          <w:szCs w:val="16"/>
        </w:rPr>
        <w:t>Murto</w:t>
      </w:r>
      <w:r w:rsidRPr="00497F85">
        <w:rPr>
          <w:sz w:val="16"/>
          <w:szCs w:val="16"/>
        </w:rPr>
        <w:t xml:space="preserve"> as the Deputy Chair. The Board decided to establish an Audit Committee and a People Committee. The Board appointed </w:t>
      </w:r>
      <w:r w:rsidRPr="00497F85">
        <w:rPr>
          <w:sz w:val="16"/>
          <w:szCs w:val="16"/>
        </w:rPr>
        <w:t>from among its members the following members to the committees:</w:t>
      </w:r>
    </w:p>
    <w:p w:rsidR="007D4159" w:rsidRPr="00782316" w:rsidP="00451945">
      <w:pPr>
        <w:pStyle w:val="Wnormal0"/>
        <w:rPr>
          <w:sz w:val="16"/>
          <w:szCs w:val="16"/>
        </w:rPr>
      </w:pPr>
      <w:r w:rsidRPr="00782316">
        <w:rPr>
          <w:b/>
          <w:bCs/>
          <w:sz w:val="16"/>
          <w:szCs w:val="16"/>
        </w:rPr>
        <w:t>Audit Committee:</w:t>
      </w:r>
      <w:r w:rsidRPr="00782316">
        <w:rPr>
          <w:sz w:val="16"/>
          <w:szCs w:val="16"/>
        </w:rPr>
        <w:t xml:space="preserve"> Chair </w:t>
      </w:r>
      <w:r>
        <w:rPr>
          <w:sz w:val="16"/>
          <w:szCs w:val="16"/>
        </w:rPr>
        <w:t>Tiina Tuomela</w:t>
      </w:r>
      <w:r w:rsidRPr="00782316">
        <w:rPr>
          <w:sz w:val="16"/>
          <w:szCs w:val="16"/>
        </w:rPr>
        <w:t xml:space="preserve">, </w:t>
      </w:r>
      <w:r w:rsidRPr="00782316">
        <w:rPr>
          <w:sz w:val="16"/>
          <w:szCs w:val="16"/>
        </w:rPr>
        <w:t>Maarit</w:t>
      </w:r>
      <w:r w:rsidRPr="00782316">
        <w:rPr>
          <w:sz w:val="16"/>
          <w:szCs w:val="16"/>
        </w:rPr>
        <w:t xml:space="preserve"> </w:t>
      </w:r>
      <w:r w:rsidRPr="00782316">
        <w:rPr>
          <w:sz w:val="16"/>
          <w:szCs w:val="16"/>
        </w:rPr>
        <w:t>Aarni-Sirviö</w:t>
      </w:r>
      <w:r w:rsidRPr="00782316">
        <w:rPr>
          <w:sz w:val="16"/>
          <w:szCs w:val="16"/>
        </w:rPr>
        <w:t xml:space="preserve">, Risto </w:t>
      </w:r>
      <w:r w:rsidRPr="00782316">
        <w:rPr>
          <w:sz w:val="16"/>
          <w:szCs w:val="16"/>
        </w:rPr>
        <w:t>Murto</w:t>
      </w:r>
    </w:p>
    <w:p w:rsidR="00D37CFA" w:rsidRPr="00782316" w:rsidP="00451945">
      <w:pPr>
        <w:pStyle w:val="Wnormal0"/>
        <w:rPr>
          <w:sz w:val="16"/>
          <w:szCs w:val="16"/>
        </w:rPr>
      </w:pPr>
      <w:r w:rsidRPr="00782316">
        <w:rPr>
          <w:b/>
          <w:bCs/>
          <w:sz w:val="16"/>
          <w:szCs w:val="16"/>
        </w:rPr>
        <w:t>People Committee:</w:t>
      </w:r>
      <w:r w:rsidRPr="00782316">
        <w:rPr>
          <w:sz w:val="16"/>
          <w:szCs w:val="16"/>
        </w:rPr>
        <w:t xml:space="preserve"> Chair </w:t>
      </w:r>
      <w:r w:rsidRPr="00782316">
        <w:rPr>
          <w:sz w:val="16"/>
          <w:szCs w:val="16"/>
        </w:rPr>
        <w:t>Maarit</w:t>
      </w:r>
      <w:r w:rsidRPr="00782316">
        <w:rPr>
          <w:sz w:val="16"/>
          <w:szCs w:val="16"/>
        </w:rPr>
        <w:t xml:space="preserve"> </w:t>
      </w:r>
      <w:r w:rsidRPr="00782316">
        <w:rPr>
          <w:sz w:val="16"/>
          <w:szCs w:val="16"/>
        </w:rPr>
        <w:t>Aarni-Sirviö</w:t>
      </w:r>
      <w:r w:rsidRPr="00782316">
        <w:rPr>
          <w:sz w:val="16"/>
          <w:szCs w:val="16"/>
        </w:rPr>
        <w:t>, Johan Forssell, Tom Johnstone</w:t>
      </w:r>
    </w:p>
    <w:p w:rsidR="00633C44" w:rsidRPr="00633C44" w:rsidP="00633C44" w14:paraId="25567D64" w14:textId="7F84DB92">
      <w:pPr>
        <w:pStyle w:val="WHeading20"/>
        <w:rPr>
          <w:rFonts w:cstheme="majorHAnsi"/>
          <w:b/>
          <w:bCs/>
          <w:sz w:val="20"/>
          <w:szCs w:val="20"/>
        </w:rPr>
      </w:pPr>
      <w:bookmarkStart w:id="28" w:name="RG_MARKER_7489"/>
      <w:r w:rsidRPr="00F90E9F">
        <w:rPr>
          <w:rFonts w:cstheme="majorHAnsi"/>
          <w:b/>
          <w:bCs/>
          <w:sz w:val="20"/>
          <w:szCs w:val="20"/>
        </w:rPr>
        <w:t>WÄRTSILÄ'S PROSPECTS FOR 202</w:t>
      </w:r>
      <w:bookmarkEnd w:id="28"/>
      <w:r>
        <w:rPr>
          <w:rFonts w:cstheme="majorHAnsi"/>
          <w:b/>
          <w:bCs/>
          <w:sz w:val="20"/>
          <w:szCs w:val="20"/>
        </w:rPr>
        <w:t>2</w:t>
      </w:r>
    </w:p>
    <w:p w:rsidR="00B4426B" w:rsidRPr="00007084" w:rsidP="00186FEA" w14:paraId="76D400B1" w14:textId="25769CE2">
      <w:pPr>
        <w:pStyle w:val="Wnormal0"/>
        <w:rPr>
          <w:sz w:val="16"/>
          <w:szCs w:val="16"/>
        </w:rPr>
      </w:pPr>
      <w:r w:rsidRPr="00633C44">
        <w:rPr>
          <w:sz w:val="16"/>
          <w:szCs w:val="16"/>
        </w:rPr>
        <w:t>Wärtsilä</w:t>
      </w:r>
      <w:r w:rsidRPr="00633C44">
        <w:rPr>
          <w:sz w:val="16"/>
          <w:szCs w:val="16"/>
        </w:rPr>
        <w:t xml:space="preserve"> expects the demand environment in the first quarter to be better than that of the corresponding period in the previous year. However, the prevailing market conditions make the outlook uncertain.</w:t>
      </w:r>
    </w:p>
    <w:p w:rsidR="004C30D4" w:rsidRPr="003D672F" w:rsidP="00D125F9">
      <w:pPr>
        <w:pStyle w:val="Wnormal0"/>
        <w:spacing w:after="20"/>
        <w:rPr>
          <w:b/>
          <w:bCs w:val="0"/>
          <w:color w:val="0F162B"/>
          <w:sz w:val="20"/>
          <w:szCs w:val="20"/>
        </w:rPr>
      </w:pPr>
      <w:bookmarkStart w:id="29" w:name="RG_MARKER_7491"/>
      <w:r w:rsidRPr="003D672F">
        <w:rPr>
          <w:b/>
          <w:bCs w:val="0"/>
          <w:color w:val="0F162B"/>
          <w:sz w:val="20"/>
          <w:szCs w:val="20"/>
        </w:rPr>
        <w:t>BOARD OF DIRECTORS’ DIVIDEND PROPOSAL</w:t>
      </w:r>
      <w:bookmarkEnd w:id="29"/>
    </w:p>
    <w:p w:rsidR="00FA5DCE" w:rsidRPr="003D672F" w:rsidP="00635A61">
      <w:pPr>
        <w:pStyle w:val="Wnormal0"/>
        <w:rPr>
          <w:sz w:val="16"/>
          <w:szCs w:val="16"/>
        </w:rPr>
      </w:pPr>
      <w:r w:rsidRPr="003D672F">
        <w:rPr>
          <w:sz w:val="16"/>
          <w:szCs w:val="16"/>
        </w:rPr>
        <w:t xml:space="preserve">The Board of Directors proposes that a dividend of EUR </w:t>
      </w:r>
      <w:r w:rsidRPr="003D672F">
        <w:rPr>
          <w:sz w:val="16"/>
          <w:szCs w:val="16"/>
        </w:rPr>
        <w:t>0.24</w:t>
      </w:r>
      <w:r w:rsidRPr="003D672F">
        <w:rPr>
          <w:color w:val="FF0000"/>
          <w:sz w:val="16"/>
          <w:szCs w:val="16"/>
        </w:rPr>
        <w:t xml:space="preserve"> </w:t>
      </w:r>
      <w:r w:rsidRPr="003D672F">
        <w:rPr>
          <w:sz w:val="16"/>
          <w:szCs w:val="16"/>
        </w:rPr>
        <w:t xml:space="preserve">per share be paid for the financial year </w:t>
      </w:r>
      <w:r w:rsidRPr="003D672F">
        <w:rPr>
          <w:sz w:val="16"/>
          <w:szCs w:val="16"/>
        </w:rPr>
        <w:t>2021</w:t>
      </w:r>
      <w:r w:rsidRPr="00583ADC">
        <w:rPr>
          <w:sz w:val="16"/>
          <w:szCs w:val="16"/>
        </w:rPr>
        <w:t xml:space="preserve">. The parent company’s distributable funds total EUR </w:t>
      </w:r>
      <w:r w:rsidRPr="00583ADC">
        <w:rPr>
          <w:sz w:val="16"/>
          <w:szCs w:val="16"/>
        </w:rPr>
        <w:t>1,025,711,618.25, which includes EUR 188,242,150.86 in net pr</w:t>
      </w:r>
      <w:r w:rsidRPr="003D672F">
        <w:rPr>
          <w:sz w:val="16"/>
          <w:szCs w:val="16"/>
        </w:rPr>
        <w:t>ofit for the year. There are 59</w:t>
      </w:r>
      <w:r>
        <w:rPr>
          <w:sz w:val="16"/>
          <w:szCs w:val="16"/>
        </w:rPr>
        <w:t>0</w:t>
      </w:r>
      <w:r w:rsidRPr="003D672F">
        <w:rPr>
          <w:sz w:val="16"/>
          <w:szCs w:val="16"/>
        </w:rPr>
        <w:t>,</w:t>
      </w:r>
      <w:r>
        <w:rPr>
          <w:sz w:val="16"/>
          <w:szCs w:val="16"/>
        </w:rPr>
        <w:t>0</w:t>
      </w:r>
      <w:r w:rsidRPr="003D672F">
        <w:rPr>
          <w:sz w:val="16"/>
          <w:szCs w:val="16"/>
        </w:rPr>
        <w:t>23,390 shares with dividend rights. The dividend shall be paid in two instalments.</w:t>
      </w:r>
    </w:p>
    <w:p w:rsidR="00FA5DCE" w:rsidRPr="003D672F" w:rsidP="00635A61">
      <w:pPr>
        <w:pStyle w:val="Wnormal0"/>
        <w:rPr>
          <w:sz w:val="16"/>
          <w:szCs w:val="16"/>
        </w:rPr>
      </w:pPr>
      <w:r w:rsidRPr="003D672F">
        <w:rPr>
          <w:sz w:val="16"/>
          <w:szCs w:val="16"/>
        </w:rPr>
        <w:t xml:space="preserve">The first instalment of EUR </w:t>
      </w:r>
      <w:r>
        <w:rPr>
          <w:sz w:val="16"/>
          <w:szCs w:val="16"/>
        </w:rPr>
        <w:t>0.12</w:t>
      </w:r>
      <w:r w:rsidRPr="003D672F">
        <w:rPr>
          <w:sz w:val="16"/>
          <w:szCs w:val="16"/>
        </w:rPr>
        <w:t xml:space="preserve"> per share </w:t>
      </w:r>
      <w:r w:rsidRPr="009556F2">
        <w:rPr>
          <w:sz w:val="16"/>
          <w:szCs w:val="16"/>
        </w:rPr>
        <w:t>sha</w:t>
      </w:r>
      <w:r w:rsidRPr="009556F2">
        <w:rPr>
          <w:sz w:val="16"/>
          <w:szCs w:val="16"/>
        </w:rPr>
        <w:t>ll be paid to the shareholders who are registered in the list of shareholders maintained by Euroclear Finland Oy on the dividend record date of 7 March 2022. The payment day proposed by the Board for this instalment is 14 March 2022.</w:t>
      </w:r>
    </w:p>
    <w:p w:rsidR="00B4426B" w:rsidRPr="003D672F" w:rsidP="006C16DE">
      <w:pPr>
        <w:pStyle w:val="Wnormal0"/>
        <w:rPr>
          <w:sz w:val="16"/>
          <w:szCs w:val="16"/>
        </w:rPr>
      </w:pPr>
      <w:r w:rsidRPr="003D672F">
        <w:rPr>
          <w:sz w:val="16"/>
          <w:szCs w:val="16"/>
        </w:rPr>
        <w:t xml:space="preserve">The second instalment </w:t>
      </w:r>
      <w:r w:rsidRPr="003D672F">
        <w:rPr>
          <w:sz w:val="16"/>
          <w:szCs w:val="16"/>
        </w:rPr>
        <w:t xml:space="preserve">of EUR </w:t>
      </w:r>
      <w:r>
        <w:rPr>
          <w:sz w:val="16"/>
          <w:szCs w:val="16"/>
        </w:rPr>
        <w:t>0.12</w:t>
      </w:r>
      <w:r w:rsidRPr="003D672F">
        <w:rPr>
          <w:color w:val="FF0000"/>
          <w:sz w:val="16"/>
          <w:szCs w:val="16"/>
        </w:rPr>
        <w:t xml:space="preserve"> </w:t>
      </w:r>
      <w:r w:rsidRPr="003D672F">
        <w:rPr>
          <w:sz w:val="16"/>
          <w:szCs w:val="16"/>
        </w:rPr>
        <w:t xml:space="preserve">per share </w:t>
      </w:r>
      <w:r w:rsidRPr="009556F2">
        <w:rPr>
          <w:sz w:val="16"/>
          <w:szCs w:val="16"/>
        </w:rPr>
        <w:t>shall be paid in October 2022. The second instalment of the dividend shall be paid to shareholders who are registered in the list of shareholders maintained by Euroclear Finland Oy on the dividend recor</w:t>
      </w:r>
      <w:r w:rsidRPr="009556F2">
        <w:rPr>
          <w:sz w:val="16"/>
          <w:szCs w:val="16"/>
        </w:rPr>
        <w:t xml:space="preserve">d day, which, together with the payment day, shall be decided by the Board of Directors in its meeting scheduled for 27 September 2022. The dividend record day for the second instalment as per the current rules of the Finnish book-entry system would be 29 </w:t>
      </w:r>
      <w:r w:rsidRPr="009556F2">
        <w:rPr>
          <w:sz w:val="16"/>
          <w:szCs w:val="16"/>
        </w:rPr>
        <w:t>September 2022 and the dividend payment day 6 October 2022.</w:t>
      </w:r>
    </w:p>
    <w:p w:rsidR="006779C0" w:rsidRPr="000D6EC7" w:rsidP="00356656">
      <w:pPr>
        <w:pStyle w:val="Wnormal0"/>
        <w:spacing w:after="20" w:line="20" w:lineRule="exact"/>
        <w:rPr>
          <w:lang w:val="en-GB"/>
        </w:rPr>
        <w:sectPr w:rsidSect="00D3472C">
          <w:headerReference w:type="even" r:id="rId21"/>
          <w:headerReference w:type="default" r:id="rId22"/>
          <w:footerReference w:type="even" r:id="rId23"/>
          <w:footerReference w:type="default" r:id="rId24"/>
          <w:headerReference w:type="first" r:id="rId25"/>
          <w:footerReference w:type="first" r:id="rId26"/>
          <w:type w:val="continuous"/>
          <w:pgSz w:w="16838" w:h="11906" w:orient="landscape"/>
          <w:pgMar w:top="1814" w:right="737" w:bottom="1247" w:left="737" w:header="720" w:footer="720" w:gutter="0"/>
          <w:pgBorders w:zOrder="front" w:display="allPages" w:offsetFrom="text">
            <w:top w:val="nil"/>
            <w:left w:val="nil"/>
            <w:bottom w:val="nil"/>
            <w:right w:val="nil"/>
          </w:pgBorders>
          <w:cols w:num="3" w:space="510"/>
          <w:vAlign w:val="top"/>
          <w:titlePg w:val="0"/>
          <w:rtlGutter w:val="0"/>
          <w:docGrid w:linePitch="360"/>
        </w:sectPr>
      </w:pPr>
      <w:bookmarkStart w:id="30" w:name="RG_MARKER_7520"/>
      <w:r w:rsidRPr="00224CB7">
        <w:rPr>
          <w:noProof/>
          <w:lang w:val="en-GB"/>
        </w:rPr>
        <mc:AlternateContent>
          <mc:Choice Requires="wps">
            <w:drawing>
              <wp:anchor distT="45720" distB="45720" distL="114300" distR="114300" simplePos="0" relativeHeight="251667456" behindDoc="0" locked="0" layoutInCell="1" allowOverlap="1">
                <wp:simplePos x="0" y="0"/>
                <wp:positionH relativeFrom="margin">
                  <wp:align>right</wp:align>
                </wp:positionH>
                <wp:positionV relativeFrom="page">
                  <wp:posOffset>1980731</wp:posOffset>
                </wp:positionV>
                <wp:extent cx="3099435" cy="3002915"/>
                <wp:effectExtent l="0" t="0" r="5715" b="6985"/>
                <wp:wrapTopAndBottom/>
                <wp:docPr id="1908696465"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3099435" cy="3002915"/>
                        </a:xfrm>
                        <a:prstGeom prst="rect">
                          <a:avLst/>
                        </a:prstGeom>
                        <a:solidFill>
                          <a:srgbClr val="FFFFFF"/>
                        </a:solidFill>
                        <a:ln w="9525">
                          <a:noFill/>
                          <a:miter lim="800000"/>
                          <a:headEnd/>
                          <a:tailEnd/>
                        </a:ln>
                      </wps:spPr>
                      <wps:txbx>
                        <w:txbxContent>
                          <w:p w:rsidR="00224CB7" w:rsidRPr="00CB635C" w:rsidP="00224CB7">
                            <w:pPr>
                              <w:pStyle w:val="Subtitle"/>
                              <w:rPr>
                                <w:rStyle w:val="SubtitleChar"/>
                                <w:color w:val="0F162B"/>
                                <w:sz w:val="16"/>
                                <w:szCs w:val="16"/>
                                <w:lang w:val="en-GB"/>
                              </w:rPr>
                            </w:pPr>
                            <w:r w:rsidRPr="00CB635C">
                              <w:rPr>
                                <w:rStyle w:val="SubtitleChar"/>
                                <w:b/>
                                <w:color w:val="0F162B"/>
                                <w:sz w:val="16"/>
                                <w:szCs w:val="16"/>
                                <w:lang w:val="en-GB"/>
                              </w:rPr>
                              <w:t>Dividend</w:t>
                            </w:r>
                          </w:p>
                          <w:p w:rsidR="00224CB7" w:rsidRPr="00DB554F" w:rsidP="00224CB7">
                            <w:pPr>
                              <w:spacing w:line="120" w:lineRule="auto"/>
                              <w:rPr>
                                <w:sz w:val="10"/>
                                <w:szCs w:val="10"/>
                                <w:lang w:val="en-GB"/>
                              </w:rPr>
                            </w:pPr>
                          </w:p>
                          <w:p w:rsidR="00862CFB" w:rsidP="00614AB1">
                            <w:pPr>
                              <w:pStyle w:val="WChartText"/>
                              <w:spacing w:before="0" w:beforeAutospacing="0" w:after="0" w:afterAutospacing="0"/>
                              <w:rPr>
                                <w:lang w:val="en-GB"/>
                              </w:rPr>
                            </w:pPr>
                            <w:r>
                              <w:drawing>
                                <wp:inline>
                                  <wp:extent cx="3025688" cy="2141926"/>
                                  <wp:docPr id="9" name="Chart_Dividend_E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6540D8" w:rsidP="00614AB1">
                            <w:pPr>
                              <w:pStyle w:val="WChartText"/>
                              <w:spacing w:after="0"/>
                              <w:rPr>
                                <w:lang w:val="en-GB"/>
                              </w:rPr>
                            </w:pPr>
                          </w:p>
                          <w:p w:rsidR="00DB554F" w:rsidRPr="00DB554F" w:rsidP="00614AB1">
                            <w:pPr>
                              <w:pStyle w:val="WChartText"/>
                              <w:spacing w:after="0"/>
                              <w:rPr>
                                <w:lang w:val="en-GB"/>
                              </w:rPr>
                            </w:pPr>
                            <w:r w:rsidRPr="006779C0">
                              <w:rPr>
                                <w:lang w:val="en-GB"/>
                              </w:rPr>
                              <w:t xml:space="preserve">The free share issue approved by Wärtsilä Corporation’s Annual General Meeting on 8 March 2018 increased the total number of Wärtsilä shares to </w:t>
                            </w:r>
                            <w:r w:rsidRPr="006779C0">
                              <w:rPr>
                                <w:lang w:val="en-GB"/>
                              </w:rPr>
                              <w:t>591,723,390. Figures for the comparison periods 201</w:t>
                            </w:r>
                            <w:r>
                              <w:rPr>
                                <w:lang w:val="en-GB"/>
                              </w:rPr>
                              <w:t>1</w:t>
                            </w:r>
                            <w:r w:rsidRPr="006779C0">
                              <w:rPr>
                                <w:lang w:val="en-GB"/>
                              </w:rPr>
                              <w:t>-2017 have been adjusted to reflect the increased number of shares.</w:t>
                            </w:r>
                          </w:p>
                        </w:txbxContent>
                      </wps:txbx>
                      <wps:bodyPr rot="0" vert="horz" wrap="square" lIns="0" tIns="0" rIns="0" bIns="0" anchor="t" anchorCtr="0"/>
                    </wps:wsp>
                  </a:graphicData>
                </a:graphic>
                <wp14:sizeRelH relativeFrom="margin">
                  <wp14:pctWidth>0</wp14:pctWidth>
                </wp14:sizeRelH>
                <wp14:sizeRelV relativeFrom="margin">
                  <wp14:pctHeight>0</wp14:pctHeight>
                </wp14:sizeRelV>
              </wp:anchor>
            </w:drawing>
          </mc:Choice>
          <mc:Fallback>
            <w:pict>
              <v:shape id="Text Box 2" o:spid="_x0000_s1032" type="#_x0000_t202" style="width:244.05pt;height:236.45pt;margin-top:155.96pt;margin-left:0;mso-height-percent:0;mso-height-relative:margin;mso-position-horizontal:right;mso-position-horizontal-relative:margin;mso-position-vertical-relative:page;mso-width-percent:0;mso-width-relative:margin;mso-wrap-distance-bottom:3.6pt;mso-wrap-distance-left:9pt;mso-wrap-distance-right:9pt;mso-wrap-distance-top:3.6pt;position:absolute;v-text-anchor:top;z-index:251666432" fillcolor="white" stroked="f" strokeweight="0.75pt">
                <v:textbox inset="0,0,0,0">
                  <w:txbxContent>
                    <w:p w:rsidR="00224CB7" w:rsidRPr="00CB635C" w:rsidP="00224CB7">
                      <w:pPr>
                        <w:pStyle w:val="Subtitle"/>
                        <w:rPr>
                          <w:rStyle w:val="SubtitleChar"/>
                          <w:color w:val="0F162B"/>
                          <w:sz w:val="16"/>
                          <w:szCs w:val="16"/>
                          <w:lang w:val="en-GB"/>
                        </w:rPr>
                      </w:pPr>
                      <w:r w:rsidRPr="00CB635C">
                        <w:rPr>
                          <w:rStyle w:val="SubtitleChar"/>
                          <w:b/>
                          <w:color w:val="0F162B"/>
                          <w:sz w:val="16"/>
                          <w:szCs w:val="16"/>
                          <w:lang w:val="en-GB"/>
                        </w:rPr>
                        <w:t>Dividend</w:t>
                      </w:r>
                    </w:p>
                    <w:p w:rsidR="00224CB7" w:rsidRPr="00DB554F" w:rsidP="00224CB7">
                      <w:pPr>
                        <w:spacing w:line="120" w:lineRule="auto"/>
                        <w:rPr>
                          <w:sz w:val="10"/>
                          <w:szCs w:val="10"/>
                          <w:lang w:val="en-GB"/>
                        </w:rPr>
                      </w:pPr>
                    </w:p>
                    <w:p w:rsidR="00862CFB" w:rsidP="00614AB1">
                      <w:pPr>
                        <w:pStyle w:val="WChartText"/>
                        <w:spacing w:before="0" w:beforeAutospacing="0" w:after="0" w:afterAutospacing="0"/>
                        <w:rPr>
                          <w:lang w:val="en-GB"/>
                        </w:rPr>
                      </w:pPr>
                      <w:drawing>
                        <wp:inline>
                          <wp:extent cx="3025688" cy="2141926"/>
                          <wp:docPr id="1504395916" name="[PlaceholderChartForReportGeneration-729330e0-0e08-4f3d-b888-bc2618521f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28399" name=""/>
                                  <pic:cNvPicPr>
                                    <a:picLocks noChangeAspect="1"/>
                                  </pic:cNvPicPr>
                                </pic:nvPicPr>
                                <pic:blipFill>
                                  <a:blip xmlns:r="http://schemas.openxmlformats.org/officeDocument/2006/relationships" r:embed="rId13"/>
                                  <a:stretch>
                                    <a:fillRect/>
                                  </a:stretch>
                                </pic:blipFill>
                                <pic:spPr>
                                  <a:xfrm>
                                    <a:off x="0" y="0"/>
                                    <a:ext cx="3025688" cy="2141926"/>
                                  </a:xfrm>
                                  <a:prstGeom prst="rect">
                                    <a:avLst/>
                                  </a:prstGeom>
                                </pic:spPr>
                              </pic:pic>
                            </a:graphicData>
                          </a:graphic>
                        </wp:inline>
                      </w:drawing>
                    </w:p>
                    <w:p w:rsidR="006540D8" w:rsidP="00614AB1">
                      <w:pPr>
                        <w:pStyle w:val="WChartText"/>
                        <w:spacing w:after="0"/>
                        <w:rPr>
                          <w:lang w:val="en-GB"/>
                        </w:rPr>
                      </w:pPr>
                    </w:p>
                    <w:p w:rsidR="00DB554F" w:rsidRPr="00DB554F" w:rsidP="00614AB1">
                      <w:pPr>
                        <w:pStyle w:val="WChartText"/>
                        <w:spacing w:after="0"/>
                        <w:rPr>
                          <w:lang w:val="en-GB"/>
                        </w:rPr>
                      </w:pPr>
                      <w:r w:rsidRPr="006779C0">
                        <w:rPr>
                          <w:lang w:val="en-GB"/>
                        </w:rPr>
                        <w:t xml:space="preserve">The free share issue approved by Wärtsilä Corporation’s Annual General Meeting on 8 March 2018 increased the total number of Wärtsilä shares to </w:t>
                      </w:r>
                      <w:r w:rsidRPr="006779C0">
                        <w:rPr>
                          <w:lang w:val="en-GB"/>
                        </w:rPr>
                        <w:t>591,723,390. Figures for the comparison periods 201</w:t>
                      </w:r>
                      <w:r>
                        <w:rPr>
                          <w:lang w:val="en-GB"/>
                        </w:rPr>
                        <w:t>1</w:t>
                      </w:r>
                      <w:r w:rsidRPr="006779C0">
                        <w:rPr>
                          <w:lang w:val="en-GB"/>
                        </w:rPr>
                        <w:t>-2017 have been adjusted to reflect the increased number of shares.</w:t>
                      </w:r>
                    </w:p>
                  </w:txbxContent>
                </v:textbox>
                <w10:wrap type="topAndBottom"/>
              </v:shape>
            </w:pict>
          </mc:Fallback>
        </mc:AlternateContent>
      </w:r>
      <w:bookmarkEnd w:id="30"/>
      <w:r>
        <w:t xml:space="preserve"> </w:t>
      </w:r>
    </w:p>
    <w:p w:rsidR="00211F4A" w:rsidRPr="00211F4A" w:rsidP="00211F4A" w14:paraId="13896412" w14:textId="77777777">
      <w:pPr>
        <w:pStyle w:val="Heading10"/>
        <w:pageBreakBefore/>
      </w:pPr>
      <w:bookmarkStart w:id="31" w:name="RG_MARKER_7353"/>
      <w:r w:rsidRPr="00211F4A">
        <w:t>FIVE YEARS IN FIGURES</w:t>
      </w:r>
      <w:bookmarkEnd w:id="31"/>
    </w:p>
    <w:p w:rsidR="00211F4A" w:rsidRPr="00211F4A" w:rsidP="00211F4A" w14:paraId="1B90F0B6" w14:textId="6957052C">
      <w:pPr>
        <w:pStyle w:val="Bodytext2"/>
      </w:pPr>
      <w:r w:rsidRPr="00211F4A">
        <w:t>Wärtsilä provides certain financial performance measures, which are accounting measures that are not defined by IFRS. These alternative performance measures, such as comparable operating result, comparable adjusted EBITA, cash flow from operating activitie</w:t>
      </w:r>
      <w:r w:rsidRPr="00211F4A">
        <w:t xml:space="preserve">s, and gearing, are followed and used by management to measure the Group's performance and financial position. In addition, </w:t>
      </w:r>
      <w:r w:rsidRPr="00211F4A">
        <w:t>Wärtsilä's</w:t>
      </w:r>
      <w:r w:rsidRPr="00211F4A">
        <w:t xml:space="preserve"> targets of financial performance are linked to</w:t>
      </w:r>
      <w:r>
        <w:t>,</w:t>
      </w:r>
      <w:r w:rsidRPr="00211F4A">
        <w:t xml:space="preserve"> for example</w:t>
      </w:r>
      <w:r>
        <w:t>,</w:t>
      </w:r>
      <w:r w:rsidRPr="00211F4A">
        <w:t xml:space="preserve"> comparable operating result and gearing. Thus, these alterna</w:t>
      </w:r>
      <w:r w:rsidRPr="00211F4A">
        <w:t>tive performance measures provide useful information to the capital markets.</w:t>
      </w:r>
    </w:p>
    <w:p w:rsidR="00211F4A" w:rsidRPr="00211F4A" w:rsidP="00211F4A" w14:paraId="226F4385" w14:textId="77777777">
      <w:pPr>
        <w:pStyle w:val="Bodytext2"/>
      </w:pPr>
    </w:p>
    <w:p w:rsidR="00211F4A" w:rsidRPr="00211F4A" w:rsidP="00211F4A" w14:paraId="217E1125" w14:textId="7BEAC26E">
      <w:pPr>
        <w:pStyle w:val="Bodytext2"/>
      </w:pPr>
      <w:r w:rsidRPr="00211F4A">
        <w:t>The alternative performance measures should not be evaluated in isolation from the corresponding IFRS measures. The alternative performance measure calculation definitions are di</w:t>
      </w:r>
      <w:r w:rsidRPr="00211F4A">
        <w:t>sclosed in Calculations of financial ratios.</w:t>
      </w:r>
    </w:p>
    <w:p w:rsidR="00211F4A" w:rsidRPr="00211F4A" w:rsidP="00211F4A" w14:paraId="7C648B62" w14:textId="77777777">
      <w:pPr>
        <w:pStyle w:val="Bodytext2"/>
      </w:pPr>
    </w:p>
    <w:tbl>
      <w:tblPr>
        <w:tblStyle w:val="TableNormal"/>
        <w:tblCaption w:val="Table_five_years_in_figures"/>
        <w:tblW w:w="7275" w:type="dxa"/>
        <w:tblLayout w:type="fixed"/>
        <w:tblLook w:val="0600"/>
      </w:tblPr>
      <w:tblGrid>
        <w:gridCol w:w="3225"/>
        <w:gridCol w:w="375"/>
        <w:gridCol w:w="735"/>
        <w:gridCol w:w="735"/>
        <w:gridCol w:w="735"/>
        <w:gridCol w:w="735"/>
        <w:gridCol w:w="735"/>
      </w:tblGrid>
      <w:tr>
        <w:tblPrEx>
          <w:tblW w:w="7275" w:type="dxa"/>
          <w:tblLayout w:type="fixed"/>
          <w:tblLook w:val="0600"/>
        </w:tblPrEx>
        <w:trPr>
          <w:trHeight w:hRule="exact" w:val="240"/>
        </w:trPr>
        <w:tc>
          <w:tcPr>
            <w:tcW w:w="322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375" w:type="dxa"/>
            <w:tcBorders>
              <w:top w:val="nil"/>
              <w:left w:val="nil"/>
              <w:bottom w:val="nil"/>
              <w:right w:val="nil"/>
              <w:tl2br w:val="nil"/>
              <w:tr2bl w:val="nil"/>
            </w:tcBorders>
            <w:shd w:val="clear" w:color="FFFFFF" w:fill="EFEFEF"/>
            <w:noWrap/>
            <w:tcMar>
              <w:left w:w="0" w:type="dxa"/>
              <w:right w:w="0" w:type="dxa"/>
            </w:tcMar>
            <w:textDirection w:val="lrTb"/>
            <w:tcFitText w:val="0"/>
            <w:vAlign w:val="top"/>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35" w:type="dxa"/>
            <w:tcBorders>
              <w:top w:val="nil"/>
              <w:left w:val="nil"/>
              <w:bottom w:val="nil"/>
              <w:right w:val="nil"/>
              <w:tl2br w:val="nil"/>
              <w:tr2bl w:val="nil"/>
            </w:tcBorders>
            <w:shd w:val="clear" w:color="FFFFFF" w:fill="EFEFEF"/>
            <w:noWrap/>
            <w:tcMar>
              <w:left w:w="0" w:type="dxa"/>
              <w:right w:w="0" w:type="dxa"/>
            </w:tcMar>
            <w:textDirection w:val="lrTb"/>
            <w:tcFitText w:val="0"/>
            <w:vAlign w:val="top"/>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3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35"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Restated</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2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37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3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73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c>
          <w:tcPr>
            <w:tcW w:w="73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2019</w:t>
            </w:r>
          </w:p>
        </w:tc>
        <w:tc>
          <w:tcPr>
            <w:tcW w:w="73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2018</w:t>
            </w:r>
          </w:p>
        </w:tc>
        <w:tc>
          <w:tcPr>
            <w:tcW w:w="73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2017*</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Net sales</w:t>
            </w:r>
          </w:p>
        </w:tc>
        <w:tc>
          <w:tcPr>
            <w:tcW w:w="37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4,778</w:t>
            </w:r>
          </w:p>
        </w:tc>
        <w:tc>
          <w:tcPr>
            <w:tcW w:w="73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4,604</w:t>
            </w:r>
          </w:p>
        </w:tc>
        <w:tc>
          <w:tcPr>
            <w:tcW w:w="73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5,170</w:t>
            </w:r>
          </w:p>
        </w:tc>
        <w:tc>
          <w:tcPr>
            <w:tcW w:w="73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5,174</w:t>
            </w:r>
          </w:p>
        </w:tc>
        <w:tc>
          <w:tcPr>
            <w:tcW w:w="73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4,911</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225"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of which outside Finland</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98.5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97.9</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98.5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98.9</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97.7</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2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Exports from Finland</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1,845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1,702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1,933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2,145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1,953</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Personnel on average</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17,461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18,307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19,110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18,899</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17,866</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225"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of which in Finland</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3,687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3,706</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3,868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3,766</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3,521</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Order book</w:t>
            </w:r>
          </w:p>
        </w:tc>
        <w:tc>
          <w:tcPr>
            <w:tcW w:w="37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5,859</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5,057</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5,878</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6,166</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5,100</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From the consolidated statement of income</w:t>
            </w:r>
          </w:p>
        </w:tc>
        <w:tc>
          <w:tcPr>
            <w:tcW w:w="375"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Depreciation, amortisation and impairment</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134</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Share of result of associates and joint ventures</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Comparable operating result</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357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577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576</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225"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 a percentage of net sales</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11.7</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Operating result</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543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538</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225"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 a percentage of net sales</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6.6</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11.0</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2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Comparable adjusted EBITA</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621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612</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225"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 a percentage of net sales</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9.6</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12.5</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Financial income and expenses</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-47</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nil"/>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Profit before taxes</w:t>
            </w:r>
          </w:p>
        </w:tc>
        <w:tc>
          <w:tcPr>
            <w:tcW w:w="375"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296</w:t>
            </w:r>
          </w:p>
        </w:tc>
        <w:tc>
          <w:tcPr>
            <w:tcW w:w="73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191</w:t>
            </w:r>
          </w:p>
        </w:tc>
        <w:tc>
          <w:tcPr>
            <w:tcW w:w="73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315</w:t>
            </w:r>
          </w:p>
        </w:tc>
        <w:tc>
          <w:tcPr>
            <w:tcW w:w="73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502</w:t>
            </w:r>
          </w:p>
        </w:tc>
        <w:tc>
          <w:tcPr>
            <w:tcW w:w="73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491</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225"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 a percentage of net sales</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Profit for the financial period</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386</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375</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225" w:type="dxa"/>
            <w:tcBorders>
              <w:top w:val="single" w:sz="4" w:space="0" w:color="004A6B"/>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 a percentage of net sales</w:t>
            </w:r>
          </w:p>
        </w:tc>
        <w:tc>
          <w:tcPr>
            <w:tcW w:w="37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7.5</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7.6</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From the consolidated statement of financial position</w:t>
            </w:r>
          </w:p>
        </w:tc>
        <w:tc>
          <w:tcPr>
            <w:tcW w:w="37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Non-current assets</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2,539</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2,427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2,518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2,369</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2,285</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Current assets</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3,982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3,706</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3,797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3,690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3,363</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Assets held for sale</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99</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Total equity attributable to equity holders of the parent company</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2,315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2,177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2,396</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2,418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2,352</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Non-controlling interests</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debt</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973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1,327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1,096</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823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619</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Non-interest-bearing liabilities</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3,227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2,648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2,824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2,804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2,653</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Liabilities directly attributable to assets held for sale</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Total equity and liabilities</w:t>
            </w:r>
          </w:p>
        </w:tc>
        <w:tc>
          <w:tcPr>
            <w:tcW w:w="37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6,523</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6,232</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6,398</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6,059</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5,648</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From the consolidated statement of cash flows</w:t>
            </w:r>
          </w:p>
        </w:tc>
        <w:tc>
          <w:tcPr>
            <w:tcW w:w="37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flow from operating activities</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731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681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470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430</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flow from investing activities</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-235</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flow from financing activities</w:t>
            </w:r>
          </w:p>
        </w:tc>
        <w:tc>
          <w:tcPr>
            <w:tcW w:w="37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-580</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-44</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-256</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-118</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-278</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Gross capital expenditure</w:t>
            </w:r>
          </w:p>
        </w:tc>
        <w:tc>
          <w:tcPr>
            <w:tcW w:w="37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143</w:t>
            </w:r>
          </w:p>
        </w:tc>
        <w:tc>
          <w:tcPr>
            <w:tcW w:w="73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117</w:t>
            </w:r>
          </w:p>
        </w:tc>
        <w:tc>
          <w:tcPr>
            <w:tcW w:w="73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122</w:t>
            </w:r>
          </w:p>
        </w:tc>
        <w:tc>
          <w:tcPr>
            <w:tcW w:w="73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306</w:t>
            </w:r>
          </w:p>
        </w:tc>
        <w:tc>
          <w:tcPr>
            <w:tcW w:w="73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255</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225"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 a percentage of net sales</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5.9</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5.2</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Research and development expenditure</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141</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225"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 a percentage of net sales</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Dividends paid</w:t>
            </w:r>
          </w:p>
        </w:tc>
        <w:tc>
          <w:tcPr>
            <w:tcW w:w="37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142**</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118</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284</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284</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272</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Financial ratios</w:t>
            </w:r>
          </w:p>
        </w:tc>
        <w:tc>
          <w:tcPr>
            <w:tcW w:w="37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Earnings per share (EPS), basic***</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0.33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0.23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0.37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0.65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0.63</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Earnings per share (EPS), diluted***</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0.33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Dividend per share***</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0.24**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0.20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0.48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0.48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0.46</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Dividend per earnings</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73.2**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88.2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130.8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73.7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70.8</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coverage</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11.8</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Return on investment (ROI)</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18.5</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Return on equity (ROE)</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8.6</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16.0</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Solvency ratio</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38.6</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44.4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46.3</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Gearing</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0.00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0.18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0.30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0.14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0.10</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Equity per share***</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4.09</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3.97</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Working capital (WCAP)</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732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563</w:t>
            </w:r>
          </w:p>
        </w:tc>
      </w:tr>
    </w:tbl>
    <w:p w:rsidR="00211F4A" w:rsidP="00211F4A" w14:paraId="2B34819E" w14:textId="0197B139">
      <w:pPr>
        <w:pStyle w:val="Bodytext2"/>
      </w:pPr>
    </w:p>
    <w:p w:rsidR="00237247" w:rsidRPr="00E10FE4" w:rsidP="00E10FE4" w14:paraId="337679A7" w14:textId="429172B8">
      <w:pPr>
        <w:pStyle w:val="Bodytext2"/>
      </w:pPr>
      <w:r w:rsidRPr="00E10FE4">
        <w:t>The financial ratios include assets and liabilities pertaining to assets held for sale.</w:t>
      </w:r>
    </w:p>
    <w:p w:rsidR="00211F4A" w:rsidRPr="00E10FE4" w:rsidP="00E10FE4" w14:paraId="185D4419" w14:textId="77777777">
      <w:pPr>
        <w:pStyle w:val="Bodytext2"/>
      </w:pPr>
      <w:r w:rsidRPr="00E10FE4">
        <w:t>* Figures in the comparison period 2017 have been restated due to the adoption of IFRS 1</w:t>
      </w:r>
      <w:r w:rsidRPr="00E10FE4">
        <w:t>5.</w:t>
      </w:r>
    </w:p>
    <w:p w:rsidR="00211F4A" w:rsidRPr="00E10FE4" w:rsidP="00E10FE4" w14:paraId="4D0A2150" w14:textId="77777777">
      <w:pPr>
        <w:pStyle w:val="Bodytext2"/>
      </w:pPr>
      <w:r w:rsidRPr="00E10FE4">
        <w:t>** Proposal of the Board of Directors.</w:t>
      </w:r>
    </w:p>
    <w:p w:rsidR="00211F4A" w:rsidRPr="00E10FE4" w:rsidP="00E10FE4" w14:paraId="39B471CE" w14:textId="6986A311">
      <w:pPr>
        <w:pStyle w:val="Bodytext2"/>
        <w:rPr>
          <w:sz w:val="2"/>
          <w:szCs w:val="2"/>
        </w:rPr>
        <w:sectPr w:rsidSect="007D3C8A">
          <w:headerReference w:type="even" r:id="rId28"/>
          <w:headerReference w:type="default" r:id="rId29"/>
          <w:footerReference w:type="even" r:id="rId30"/>
          <w:footerReference w:type="default" r:id="rId31"/>
          <w:headerReference w:type="first" r:id="rId32"/>
          <w:footerReference w:type="first" r:id="rId33"/>
          <w:type w:val="continuous"/>
          <w:pgSz w:w="16838" w:h="11906" w:orient="landscape"/>
          <w:pgMar w:top="1814" w:right="737" w:bottom="1247" w:left="737" w:header="720" w:footer="720" w:gutter="0"/>
          <w:pgBorders w:zOrder="front" w:display="allPages" w:offsetFrom="text">
            <w:top w:val="nil"/>
            <w:left w:val="nil"/>
            <w:bottom w:val="nil"/>
            <w:right w:val="nil"/>
          </w:pgBorders>
          <w:cols w:num="2" w:space="624"/>
          <w:vAlign w:val="top"/>
          <w:titlePg w:val="0"/>
          <w:rtlGutter w:val="0"/>
          <w:docGrid w:linePitch="360"/>
        </w:sectPr>
      </w:pPr>
      <w:r w:rsidRPr="00E10FE4">
        <w:t>*** Share issue without payment (share split) approved by Wärtsilä Corporation’s Annual General Meeting on 8 March 2018 increased the total number of Wärtsilä shares to 591,723,390. Figures in the comparison period</w:t>
      </w:r>
      <w:r w:rsidRPr="00E10FE4">
        <w:t>s have been restated accordingly.</w:t>
      </w:r>
      <w:r w:rsidRPr="00211F4A">
        <w:br w:type="column"/>
      </w:r>
      <w:r w:rsidRPr="00E10FE4">
        <w:rPr>
          <w:sz w:val="2"/>
          <w:szCs w:val="2"/>
        </w:rPr>
        <w:t xml:space="preserve">   </w:t>
      </w:r>
    </w:p>
    <w:p w:rsidR="00575998" w:rsidP="00575998" w14:paraId="0B4F31B2" w14:textId="77777777">
      <w:pPr>
        <w:pStyle w:val="Heading10"/>
      </w:pPr>
      <w:bookmarkStart w:id="32" w:name="RG_MARKER_7354"/>
      <w:r>
        <w:t>QUARTERLY FIGURES</w:t>
      </w:r>
      <w:bookmarkEnd w:id="32"/>
    </w:p>
    <w:tbl>
      <w:tblPr>
        <w:tblStyle w:val="TableNormal"/>
        <w:tblCaption w:val="Table_quarterly_figures"/>
        <w:tblW w:w="15405" w:type="dxa"/>
        <w:tblLayout w:type="fixed"/>
        <w:tblLook w:val="0600"/>
      </w:tblPr>
      <w:tblGrid>
        <w:gridCol w:w="5280"/>
        <w:gridCol w:w="1125"/>
        <w:gridCol w:w="1125"/>
        <w:gridCol w:w="1125"/>
        <w:gridCol w:w="1125"/>
        <w:gridCol w:w="1125"/>
        <w:gridCol w:w="1125"/>
        <w:gridCol w:w="1125"/>
        <w:gridCol w:w="1125"/>
        <w:gridCol w:w="1125"/>
      </w:tblGrid>
      <w:tr>
        <w:tblPrEx>
          <w:tblW w:w="15405" w:type="dxa"/>
          <w:tblLayout w:type="fixed"/>
          <w:tblLook w:val="0600"/>
        </w:tblPrEx>
        <w:trPr>
          <w:trHeight w:hRule="exact" w:val="240"/>
        </w:trPr>
        <w:tc>
          <w:tcPr>
            <w:tcW w:w="52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10–12/2021</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7–9/2021</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4–6/2021</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1–3/2021</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10–12/2020</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7–9/2020</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4–6/2020</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1–3/2020</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10–12/2019</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Order intake</w:t>
            </w:r>
          </w:p>
        </w:tc>
        <w:tc>
          <w:tcPr>
            <w:tcW w:w="112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Power*</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659</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443</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463</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446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440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656</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Systems*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308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183</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147</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Voyage*</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93</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53</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93</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Energy*</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1,031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486</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433</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469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319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475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585</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Portfolio Business*</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59</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66</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55</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57</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74</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2,150</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1,186</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1,154</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1,244</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1,118</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981</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1,011</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1,247</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1,555</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Order book at the end of the financial period</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Power*</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1,994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1,930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1,860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1,882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1,839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1,908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1,913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1,967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2,019</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Systems*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1,042</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944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912</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887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857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872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1,051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1,232</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Voyage*</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295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305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274</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Energy*</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2,393</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2,056</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2,035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1,830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1,865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1,939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2,087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2,014</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Portfolio Business*</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142</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115</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135</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297</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257</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331</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341</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336</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338</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5,859</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5,325</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5,238</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5,399</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5,057</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5,265</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5,401</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5,745</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5,878</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528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 sales</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Power*</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589</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382</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466</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426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489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603</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Systems*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142</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279</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Voyage*</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82</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Energy*</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670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487</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416</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465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648</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Portfolio Business*</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32</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25</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33</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48</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59</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71</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528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1,597</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1,103</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1,131</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946</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1,220</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995</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1,220</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1,170</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1,684</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528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Share of result of associates and joint ventures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Comparable adjusted EBITA</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213</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 a percentage of net sales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8.6</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12.6</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528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Depreciation, amortisation and impairment</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-42</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Purchase price allocation amortisation</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528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Comparable operating result</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87</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 a percentage of net sales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9.9</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6.3</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12.0</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Items affecting comparability, total</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Operating result</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164</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 a percentage of net sales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9.7</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Financial income and expenses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Profit before taxes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53</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153</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Income taxes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Profit for the financial period</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102</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Earnings per share (EPS), basic, EUR</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0.14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0.08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0.06</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0.04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0.10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0.04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0.04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0.05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0.17</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Earnings per share (EPS), diluted, EUR</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0.14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0.08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0.06</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Gross capital expenditure</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44</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Investments in securities and acquisitions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flow from operating activities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370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295</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528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Working capital (WCAP) at the end of the financial period</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107</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73</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660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732</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Personnel at the end of the financial period**</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Power*</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8,224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8,157</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8,131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8,317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8,355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8,412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8,674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8,934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8,820</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Systems*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1,894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1,891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1,882</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1,864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1,897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1,891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1,846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1,862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1,870</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Voyage*</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1,725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1,799</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1,865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1,925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1,915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1,946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1,917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1,939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1,889</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Energy*</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4,980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4,975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4,953</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4,905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4,888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4,837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4,799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4,819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5,137</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Portfolio Business*</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482</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481</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555</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732</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737</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1,097</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1,098</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1,088</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1,080</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17,305</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17,303</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17,386</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17,742</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17,792</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18,183</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18,334</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18,642</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18,795</w:t>
            </w:r>
          </w:p>
        </w:tc>
      </w:tr>
    </w:tbl>
    <w:p w:rsidR="00575998" w:rsidRPr="00575998" w:rsidP="00575998" w14:paraId="1C3871AC" w14:textId="77777777">
      <w:pPr>
        <w:pStyle w:val="Bodytext2"/>
      </w:pPr>
    </w:p>
    <w:p w:rsidR="00575998" w:rsidRPr="00575998" w:rsidP="00575998" w14:paraId="3C6D9BDE" w14:textId="6F83094A">
      <w:pPr>
        <w:pStyle w:val="Bodytext2"/>
      </w:pPr>
      <w:r w:rsidRPr="00575998">
        <w:t>* The segment related comparison figures for 2019 and 1-3/2020 have been restated to reflect the new organisational structure effective as of 1 July 2020.</w:t>
      </w:r>
    </w:p>
    <w:p w:rsidR="009A1ACC" w:rsidP="000556E1" w14:paraId="0122DCAE" w14:textId="61F7B2C3">
      <w:pPr>
        <w:pStyle w:val="Bodytext2"/>
      </w:pPr>
      <w:r>
        <w:t xml:space="preserve">** </w:t>
      </w:r>
      <w:r w:rsidRPr="00292A01">
        <w:t xml:space="preserve">Comparison figures have been adjusted to </w:t>
      </w:r>
      <w:r w:rsidRPr="00292A01">
        <w:t>reflect the business unit composition of the Portfolio Business and a change in allocation principles</w:t>
      </w:r>
      <w:r w:rsidRPr="00575998">
        <w:t>.</w:t>
      </w:r>
      <w:r>
        <w:br w:type="page"/>
      </w:r>
    </w:p>
    <w:p w:rsidR="00B14CC9" w:rsidRPr="009A1ACC" w:rsidP="000556E1" w14:paraId="7691D7E0" w14:textId="5B107479">
      <w:pPr>
        <w:pStyle w:val="Bodytext2"/>
        <w:rPr>
          <w:sz w:val="2"/>
          <w:szCs w:val="2"/>
        </w:rPr>
        <w:sectPr w:rsidSect="000556E1">
          <w:headerReference w:type="even" r:id="rId34"/>
          <w:headerReference w:type="default" r:id="rId35"/>
          <w:footerReference w:type="even" r:id="rId36"/>
          <w:footerReference w:type="default" r:id="rId37"/>
          <w:headerReference w:type="first" r:id="rId38"/>
          <w:footerReference w:type="first" r:id="rId39"/>
          <w:type w:val="continuous"/>
          <w:pgSz w:w="16838" w:h="11906" w:orient="landscape"/>
          <w:pgMar w:top="1814" w:right="737" w:bottom="1247" w:left="737" w:header="720" w:footer="720" w:gutter="0"/>
          <w:pgBorders w:zOrder="front" w:display="allPages" w:offsetFrom="text">
            <w:top w:val="nil"/>
            <w:left w:val="nil"/>
            <w:bottom w:val="nil"/>
            <w:right w:val="nil"/>
          </w:pgBorders>
          <w:cols w:space="720"/>
          <w:vAlign w:val="top"/>
          <w:titlePg w:val="0"/>
          <w:rtlGutter w:val="0"/>
          <w:docGrid w:linePitch="360"/>
        </w:sectPr>
      </w:pPr>
      <w:r w:rsidRPr="009A1ACC">
        <w:rPr>
          <w:sz w:val="2"/>
          <w:szCs w:val="2"/>
        </w:rPr>
        <w:t xml:space="preserve">   </w:t>
      </w:r>
    </w:p>
    <w:p w:rsidR="00022155" w:rsidP="00022155" w14:paraId="242C4156" w14:textId="77777777">
      <w:pPr>
        <w:pStyle w:val="Heading10"/>
      </w:pPr>
      <w:bookmarkStart w:id="33" w:name="_Hlk42850006_0"/>
      <w:bookmarkStart w:id="34" w:name="RG_MARKER_7355"/>
      <w:r>
        <w:t>CALCULATIONS OF FINANCIAL RATIOS</w:t>
      </w:r>
      <w:bookmarkEnd w:id="34"/>
    </w:p>
    <w:p w:rsidR="00022155" w:rsidP="00022155" w14:paraId="52F7FA0E" w14:textId="77777777">
      <w:pPr>
        <w:pStyle w:val="Heading13"/>
      </w:pPr>
      <w:bookmarkEnd w:id="33"/>
      <w:r>
        <w:t>Operating result</w:t>
      </w:r>
    </w:p>
    <w:p w:rsidR="00022155" w:rsidRPr="00AD6B99" w:rsidP="00022155" w14:paraId="0E40D796" w14:textId="77777777">
      <w:pPr>
        <w:pStyle w:val="Bodytext2"/>
      </w:pPr>
      <w:r w:rsidRPr="00AD6B99">
        <w:t>Net sales + other operating income – expenses – depreciation, amortisation</w:t>
      </w:r>
      <w:r w:rsidRPr="00AD6B99">
        <w:t xml:space="preserve"> and impairment +/– share of result of associates and joint ventures</w:t>
      </w:r>
    </w:p>
    <w:p w:rsidR="00022155" w:rsidRPr="00AD6B99" w:rsidP="00022155" w14:paraId="689B4991" w14:textId="77777777">
      <w:pPr>
        <w:pStyle w:val="Bodytext2"/>
      </w:pPr>
    </w:p>
    <w:p w:rsidR="00022155" w:rsidRPr="00AD6B99" w:rsidP="00022155" w14:paraId="286222BC" w14:textId="46A6A541">
      <w:pPr>
        <w:pStyle w:val="Heading13"/>
      </w:pPr>
      <w:r w:rsidRPr="00AD6B99">
        <w:t>Earnings per share (EPS), basic</w:t>
      </w:r>
    </w:p>
    <w:tbl>
      <w:tblPr>
        <w:tblStyle w:val="TableGrid0"/>
        <w:tblW w:w="0" w:type="auto"/>
        <w:tblInd w:w="5" w:type="dxa"/>
        <w:tblLook w:val="04A0"/>
      </w:tblPr>
      <w:tblGrid>
        <w:gridCol w:w="7345"/>
        <w:gridCol w:w="20"/>
      </w:tblGrid>
      <w:tr w14:paraId="117D641F" w14:textId="77777777" w:rsidTr="00276F53">
        <w:tblPrEx>
          <w:tblW w:w="0" w:type="auto"/>
          <w:tblInd w:w="5" w:type="dxa"/>
          <w:tblLook w:val="04A0"/>
        </w:tblPrEx>
        <w:tc>
          <w:tcPr>
            <w:tcW w:w="7345" w:type="dxa"/>
            <w:tcBorders>
              <w:top w:val="nil"/>
              <w:left w:val="nil"/>
              <w:bottom w:val="single" w:sz="4" w:space="0" w:color="auto"/>
              <w:right w:val="nil"/>
            </w:tcBorders>
            <w:hideMark/>
          </w:tcPr>
          <w:p w:rsidR="00022155" w:rsidRPr="00AD6B99" w:rsidP="00022155" w14:paraId="57DB3EB7" w14:textId="79776440">
            <w:pPr>
              <w:pStyle w:val="Bodytext2"/>
              <w:rPr>
                <w:lang w:val="en-GB"/>
              </w:rPr>
            </w:pPr>
            <w:r w:rsidRPr="00AD6B99">
              <w:rPr>
                <w:lang w:val="en-GB"/>
              </w:rPr>
              <w:t>Profit for the financial period attributable to equity holders of the parent company</w:t>
            </w:r>
          </w:p>
        </w:tc>
        <w:tc>
          <w:tcPr>
            <w:tcW w:w="20" w:type="dxa"/>
            <w:vMerge w:val="restart"/>
            <w:vAlign w:val="center"/>
          </w:tcPr>
          <w:p w:rsidR="00022155" w:rsidRPr="00AD6B99" w:rsidP="00022155" w14:paraId="1101EA12" w14:textId="77777777">
            <w:pPr>
              <w:pStyle w:val="Bodytext2"/>
              <w:rPr>
                <w:lang w:val="en-GB"/>
              </w:rPr>
            </w:pPr>
          </w:p>
        </w:tc>
      </w:tr>
      <w:tr w14:paraId="66AF1922" w14:textId="77777777" w:rsidTr="00276F53">
        <w:tblPrEx>
          <w:tblW w:w="0" w:type="auto"/>
          <w:tblInd w:w="5" w:type="dxa"/>
          <w:tblLook w:val="04A0"/>
        </w:tblPrEx>
        <w:tc>
          <w:tcPr>
            <w:tcW w:w="7345" w:type="dxa"/>
            <w:tcBorders>
              <w:top w:val="single" w:sz="4" w:space="0" w:color="auto"/>
              <w:left w:val="nil"/>
              <w:bottom w:val="nil"/>
              <w:right w:val="nil"/>
            </w:tcBorders>
            <w:hideMark/>
          </w:tcPr>
          <w:p w:rsidR="00022155" w:rsidRPr="00AD6B99" w:rsidP="00022155" w14:paraId="1276B9DA" w14:textId="08FECC48">
            <w:pPr>
              <w:pStyle w:val="Bodytext2"/>
              <w:rPr>
                <w:lang w:val="en-GB"/>
              </w:rPr>
            </w:pPr>
            <w:r w:rsidRPr="00AD6B99">
              <w:rPr>
                <w:lang w:val="en-GB"/>
              </w:rPr>
              <w:t>N</w:t>
            </w:r>
            <w:r w:rsidRPr="00AD6B99" w:rsidR="00AE405A">
              <w:rPr>
                <w:lang w:val="en-GB"/>
              </w:rPr>
              <w:t>umber of shares</w:t>
            </w:r>
            <w:r w:rsidRPr="00AD6B99">
              <w:rPr>
                <w:lang w:val="en-GB"/>
              </w:rPr>
              <w:t xml:space="preserve"> outstanding</w:t>
            </w:r>
            <w:r w:rsidRPr="00AD6B99" w:rsidR="00AE405A">
              <w:rPr>
                <w:lang w:val="en-GB"/>
              </w:rPr>
              <w:t>, average over the financial period</w:t>
            </w:r>
          </w:p>
        </w:tc>
        <w:tc>
          <w:tcPr>
            <w:tcW w:w="0" w:type="auto"/>
            <w:vMerge/>
            <w:vAlign w:val="center"/>
            <w:hideMark/>
          </w:tcPr>
          <w:p w:rsidR="00022155" w:rsidRPr="00AD6B99" w:rsidP="00022155" w14:paraId="6FC4A9B3" w14:textId="77777777">
            <w:pPr>
              <w:pStyle w:val="Bodytext2"/>
              <w:rPr>
                <w:lang w:val="en-GB"/>
              </w:rPr>
            </w:pPr>
          </w:p>
        </w:tc>
      </w:tr>
    </w:tbl>
    <w:p w:rsidR="00276F53" w:rsidRPr="00AD6B99" w:rsidP="00276F53" w14:paraId="6F59DAD3" w14:textId="77777777">
      <w:pPr>
        <w:pStyle w:val="Heading13"/>
      </w:pPr>
    </w:p>
    <w:p w:rsidR="00276F53" w:rsidRPr="00AD6B99" w:rsidP="00276F53" w14:paraId="422A1593" w14:textId="5E2D6A23">
      <w:pPr>
        <w:pStyle w:val="Heading13"/>
      </w:pPr>
      <w:r w:rsidRPr="00AD6B99">
        <w:t>Earnings per share (EPS), diluted</w:t>
      </w:r>
    </w:p>
    <w:tbl>
      <w:tblPr>
        <w:tblStyle w:val="TableGrid0"/>
        <w:tblW w:w="0" w:type="auto"/>
        <w:tblInd w:w="5" w:type="dxa"/>
        <w:tblLook w:val="04A0"/>
      </w:tblPr>
      <w:tblGrid>
        <w:gridCol w:w="7345"/>
        <w:gridCol w:w="20"/>
      </w:tblGrid>
      <w:tr w14:paraId="5D5C7880" w14:textId="77777777" w:rsidTr="002F4899">
        <w:tblPrEx>
          <w:tblW w:w="0" w:type="auto"/>
          <w:tblInd w:w="5" w:type="dxa"/>
          <w:tblLook w:val="04A0"/>
        </w:tblPrEx>
        <w:tc>
          <w:tcPr>
            <w:tcW w:w="7361" w:type="dxa"/>
            <w:tcBorders>
              <w:top w:val="nil"/>
              <w:left w:val="nil"/>
              <w:bottom w:val="single" w:sz="4" w:space="0" w:color="auto"/>
              <w:right w:val="nil"/>
            </w:tcBorders>
            <w:hideMark/>
          </w:tcPr>
          <w:p w:rsidR="00276F53" w:rsidRPr="00AD6B99" w:rsidP="002F4899" w14:paraId="638A76A0" w14:textId="77777777">
            <w:pPr>
              <w:pStyle w:val="Bodytext2"/>
              <w:rPr>
                <w:lang w:val="en-GB"/>
              </w:rPr>
            </w:pPr>
            <w:r w:rsidRPr="00AD6B99">
              <w:rPr>
                <w:lang w:val="en-GB"/>
              </w:rPr>
              <w:t>Profit for the financial period attributable to equity holders of the parent company</w:t>
            </w:r>
          </w:p>
        </w:tc>
        <w:tc>
          <w:tcPr>
            <w:tcW w:w="20" w:type="dxa"/>
            <w:vMerge w:val="restart"/>
            <w:vAlign w:val="center"/>
          </w:tcPr>
          <w:p w:rsidR="00276F53" w:rsidRPr="00AD6B99" w:rsidP="002F4899" w14:paraId="51F5CA3D" w14:textId="77777777">
            <w:pPr>
              <w:pStyle w:val="Bodytext2"/>
              <w:rPr>
                <w:lang w:val="en-GB"/>
              </w:rPr>
            </w:pPr>
          </w:p>
        </w:tc>
      </w:tr>
      <w:tr w14:paraId="2A758DE8" w14:textId="77777777" w:rsidTr="002F4899">
        <w:tblPrEx>
          <w:tblW w:w="0" w:type="auto"/>
          <w:tblInd w:w="5" w:type="dxa"/>
          <w:tblLook w:val="04A0"/>
        </w:tblPrEx>
        <w:tc>
          <w:tcPr>
            <w:tcW w:w="7361" w:type="dxa"/>
            <w:tcBorders>
              <w:top w:val="single" w:sz="4" w:space="0" w:color="auto"/>
              <w:left w:val="nil"/>
              <w:bottom w:val="nil"/>
              <w:right w:val="nil"/>
            </w:tcBorders>
            <w:hideMark/>
          </w:tcPr>
          <w:p w:rsidR="00276F53" w:rsidRPr="00AD6B99" w:rsidP="002F4899" w14:paraId="3F87A762" w14:textId="77695658">
            <w:pPr>
              <w:pStyle w:val="Bodytext2"/>
              <w:rPr>
                <w:lang w:val="en-GB"/>
              </w:rPr>
            </w:pPr>
            <w:r w:rsidRPr="00AD6B99">
              <w:rPr>
                <w:lang w:val="en-GB"/>
              </w:rPr>
              <w:t>Number of shares outstanding, average over the financial period + number of potential ordinary shares with dilutive effect</w:t>
            </w:r>
          </w:p>
        </w:tc>
        <w:tc>
          <w:tcPr>
            <w:tcW w:w="0" w:type="auto"/>
            <w:vMerge/>
            <w:vAlign w:val="center"/>
            <w:hideMark/>
          </w:tcPr>
          <w:p w:rsidR="00276F53" w:rsidRPr="00AD6B99" w:rsidP="002F4899" w14:paraId="522D2F1F" w14:textId="77777777">
            <w:pPr>
              <w:pStyle w:val="Bodytext2"/>
              <w:rPr>
                <w:lang w:val="en-GB"/>
              </w:rPr>
            </w:pPr>
          </w:p>
        </w:tc>
      </w:tr>
    </w:tbl>
    <w:p w:rsidR="00022155" w:rsidRPr="00AD6B99" w:rsidP="00974ADA" w14:paraId="666416C6" w14:textId="77777777">
      <w:pPr>
        <w:pStyle w:val="Bodytext2"/>
      </w:pPr>
    </w:p>
    <w:p w:rsidR="00022155" w:rsidRPr="00AD6B99" w:rsidP="00022155" w14:paraId="28CA9993" w14:textId="77777777">
      <w:pPr>
        <w:pStyle w:val="Heading13"/>
      </w:pPr>
      <w:r w:rsidRPr="00AD6B99">
        <w:t>Items af</w:t>
      </w:r>
      <w:r w:rsidRPr="00AD6B99">
        <w:t>fecting comparability</w:t>
      </w:r>
    </w:p>
    <w:p w:rsidR="00022155" w:rsidRPr="00AD6B99" w:rsidP="00022155" w14:paraId="7F72689A" w14:textId="77777777">
      <w:pPr>
        <w:pStyle w:val="Bodytext2"/>
      </w:pPr>
      <w:r w:rsidRPr="00AD6B99">
        <w:t xml:space="preserve">Certain income and expenses are presented as items affecting comparability when they have significant impact on the consolidated statement of income. Items affecting comparability consist of income and expenses, which result from </w:t>
      </w:r>
      <w:r w:rsidRPr="00AD6B99">
        <w:t>restructuring activities aiming to adjust the capacity of Wärtsilä’s operations. They may also include other income and expenses incurred outside Wärtsilä’s normal course of business, such as impairment charges, acquisition related costs, settlements recor</w:t>
      </w:r>
      <w:r w:rsidRPr="00AD6B99">
        <w:t>ded as a result of legal proceedings with third parties or unforeseen obligations from earlier discontinued businesses.</w:t>
      </w:r>
    </w:p>
    <w:p w:rsidR="00022155" w:rsidRPr="00AD6B99" w:rsidP="00022155" w14:paraId="6323D1BB" w14:textId="77777777">
      <w:pPr>
        <w:pStyle w:val="Bodytext2"/>
      </w:pPr>
    </w:p>
    <w:p w:rsidR="00022155" w:rsidRPr="00AD6B99" w:rsidP="00022155" w14:paraId="7031E173" w14:textId="77777777">
      <w:pPr>
        <w:pStyle w:val="Heading13"/>
      </w:pPr>
      <w:r w:rsidRPr="00AD6B99">
        <w:t>Comparable operating result</w:t>
      </w:r>
    </w:p>
    <w:p w:rsidR="00022155" w:rsidRPr="00AD6B99" w:rsidP="00022155" w14:paraId="44A2F5E8" w14:textId="77777777">
      <w:pPr>
        <w:pStyle w:val="Bodytext2"/>
      </w:pPr>
      <w:r w:rsidRPr="00AD6B99">
        <w:t>Operating result – items affecting comparability</w:t>
      </w:r>
    </w:p>
    <w:p w:rsidR="00022155" w:rsidRPr="00AD6B99" w:rsidP="00022155" w14:paraId="3AC0AC4F" w14:textId="77777777">
      <w:pPr>
        <w:pStyle w:val="Bodytext2"/>
      </w:pPr>
    </w:p>
    <w:p w:rsidR="00022155" w:rsidRPr="00AD6B99" w:rsidP="00022155" w14:paraId="0C9F232D" w14:textId="77777777">
      <w:pPr>
        <w:pStyle w:val="Heading13"/>
      </w:pPr>
      <w:r w:rsidRPr="00AD6B99">
        <w:t>Comparable adjusted EBITA</w:t>
      </w:r>
    </w:p>
    <w:p w:rsidR="00022155" w:rsidRPr="00AD6B99" w:rsidP="00022155" w14:paraId="50152BF8" w14:textId="77777777">
      <w:pPr>
        <w:pStyle w:val="Bodytext2"/>
      </w:pPr>
      <w:r w:rsidRPr="00AD6B99">
        <w:t>Operating result – items affect</w:t>
      </w:r>
      <w:r w:rsidRPr="00AD6B99">
        <w:t>ing comparability – purchase price allocation amortisation</w:t>
      </w:r>
    </w:p>
    <w:p w:rsidR="00022155" w:rsidRPr="00AD6B99" w:rsidP="00022155" w14:paraId="5744B2E4" w14:textId="77777777">
      <w:pPr>
        <w:pStyle w:val="Bodytext2"/>
      </w:pPr>
    </w:p>
    <w:p w:rsidR="00022155" w:rsidRPr="00AD6B99" w:rsidP="00022155" w14:paraId="018FC0F4" w14:textId="0CC4E734">
      <w:pPr>
        <w:pStyle w:val="Heading13"/>
      </w:pPr>
      <w:r w:rsidRPr="00AD6B99">
        <w:t>Gross capital expenditure</w:t>
      </w:r>
    </w:p>
    <w:p w:rsidR="00022155" w:rsidRPr="00AD6B99" w:rsidP="00022155" w14:paraId="02EA083E" w14:textId="77777777">
      <w:pPr>
        <w:pStyle w:val="Bodytext2"/>
      </w:pPr>
      <w:r w:rsidRPr="00AD6B99">
        <w:t>Investments in securities and acquisitions + investments in intangible assets and property, plant and equipment</w:t>
      </w:r>
    </w:p>
    <w:p w:rsidR="00022155" w:rsidRPr="00AD6B99" w:rsidP="00022155" w14:paraId="674ADD75" w14:textId="77777777">
      <w:pPr>
        <w:pStyle w:val="Bodytext2"/>
      </w:pPr>
    </w:p>
    <w:p w:rsidR="00022155" w:rsidRPr="00AD6B99" w:rsidP="00022155" w14:paraId="3E1EB9EA" w14:textId="77777777">
      <w:pPr>
        <w:pStyle w:val="Heading13"/>
      </w:pPr>
      <w:r w:rsidRPr="00AD6B99">
        <w:t>Net interest-bearing debt</w:t>
      </w:r>
    </w:p>
    <w:p w:rsidR="00022155" w:rsidRPr="00AD6B99" w:rsidP="00022155" w14:paraId="3BCF2086" w14:textId="77777777">
      <w:pPr>
        <w:pStyle w:val="Bodytext2"/>
      </w:pPr>
      <w:r w:rsidRPr="00AD6B99">
        <w:t>Total of non-current and curren</w:t>
      </w:r>
      <w:r w:rsidRPr="00AD6B99">
        <w:t>t interest-bearing debt + total of non-current and current lease liabilities – interest-bearing receivables – cash and cash equivalents</w:t>
      </w:r>
    </w:p>
    <w:p w:rsidR="00022155" w:rsidRPr="00AD6B99" w:rsidP="00022155" w14:paraId="16587C46" w14:textId="77777777">
      <w:pPr>
        <w:pStyle w:val="Heading13"/>
      </w:pPr>
      <w:r w:rsidRPr="00AD6B99">
        <w:t>Equity per share</w:t>
      </w:r>
    </w:p>
    <w:tbl>
      <w:tblPr>
        <w:tblStyle w:val="TableGrid0"/>
        <w:tblW w:w="0" w:type="auto"/>
        <w:tblInd w:w="5" w:type="dxa"/>
        <w:tblLook w:val="04A0"/>
      </w:tblPr>
      <w:tblGrid>
        <w:gridCol w:w="7345"/>
        <w:gridCol w:w="20"/>
      </w:tblGrid>
      <w:tr w14:paraId="2196270F" w14:textId="77777777" w:rsidTr="00022155">
        <w:tblPrEx>
          <w:tblW w:w="0" w:type="auto"/>
          <w:tblInd w:w="5" w:type="dxa"/>
          <w:tblLook w:val="04A0"/>
        </w:tblPrEx>
        <w:tc>
          <w:tcPr>
            <w:tcW w:w="7361" w:type="dxa"/>
            <w:tcBorders>
              <w:top w:val="nil"/>
              <w:left w:val="nil"/>
              <w:bottom w:val="single" w:sz="4" w:space="0" w:color="auto"/>
              <w:right w:val="nil"/>
            </w:tcBorders>
            <w:hideMark/>
          </w:tcPr>
          <w:p w:rsidR="00022155" w:rsidRPr="00AD6B99" w:rsidP="00022155" w14:paraId="5BA434A9" w14:textId="77777777">
            <w:pPr>
              <w:pStyle w:val="Bodytext2"/>
              <w:rPr>
                <w:lang w:val="en-GB"/>
              </w:rPr>
            </w:pPr>
            <w:r w:rsidRPr="00AD6B99">
              <w:rPr>
                <w:lang w:val="en-GB"/>
              </w:rPr>
              <w:t>Equity attributable to equity holders of the parent company</w:t>
            </w:r>
          </w:p>
        </w:tc>
        <w:tc>
          <w:tcPr>
            <w:tcW w:w="20" w:type="dxa"/>
            <w:vMerge w:val="restart"/>
            <w:vAlign w:val="center"/>
          </w:tcPr>
          <w:p w:rsidR="00022155" w:rsidRPr="00AD6B99" w:rsidP="00022155" w14:paraId="4585302E" w14:textId="77777777">
            <w:pPr>
              <w:pStyle w:val="Bodytext2"/>
              <w:rPr>
                <w:lang w:val="en-GB"/>
              </w:rPr>
            </w:pPr>
          </w:p>
        </w:tc>
      </w:tr>
      <w:tr w14:paraId="02E1F815" w14:textId="77777777" w:rsidTr="00022155">
        <w:tblPrEx>
          <w:tblW w:w="0" w:type="auto"/>
          <w:tblInd w:w="5" w:type="dxa"/>
          <w:tblLook w:val="04A0"/>
        </w:tblPrEx>
        <w:tc>
          <w:tcPr>
            <w:tcW w:w="7361" w:type="dxa"/>
            <w:tcBorders>
              <w:top w:val="single" w:sz="4" w:space="0" w:color="auto"/>
              <w:left w:val="nil"/>
              <w:bottom w:val="nil"/>
              <w:right w:val="nil"/>
            </w:tcBorders>
            <w:hideMark/>
          </w:tcPr>
          <w:p w:rsidR="00022155" w:rsidRPr="00AD6B99" w:rsidP="00022155" w14:paraId="186535D4" w14:textId="27E3B405">
            <w:pPr>
              <w:pStyle w:val="Bodytext2"/>
              <w:rPr>
                <w:lang w:val="en-GB"/>
              </w:rPr>
            </w:pPr>
            <w:r w:rsidRPr="00AD6B99">
              <w:rPr>
                <w:lang w:val="en-GB"/>
              </w:rPr>
              <w:t>N</w:t>
            </w:r>
            <w:r w:rsidRPr="00AD6B99" w:rsidR="00AE405A">
              <w:rPr>
                <w:lang w:val="en-GB"/>
              </w:rPr>
              <w:t>umber of shares</w:t>
            </w:r>
            <w:r w:rsidRPr="00AD6B99">
              <w:rPr>
                <w:lang w:val="en-GB"/>
              </w:rPr>
              <w:t xml:space="preserve"> outstanding</w:t>
            </w:r>
            <w:r w:rsidRPr="00AD6B99" w:rsidR="00AE405A">
              <w:rPr>
                <w:lang w:val="en-GB"/>
              </w:rPr>
              <w:t xml:space="preserve"> at the end of the financial period</w:t>
            </w:r>
          </w:p>
        </w:tc>
        <w:tc>
          <w:tcPr>
            <w:tcW w:w="0" w:type="auto"/>
            <w:vMerge/>
            <w:vAlign w:val="center"/>
            <w:hideMark/>
          </w:tcPr>
          <w:p w:rsidR="00022155" w:rsidRPr="00AD6B99" w:rsidP="00022155" w14:paraId="7DCED583" w14:textId="77777777">
            <w:pPr>
              <w:pStyle w:val="Bodytext2"/>
              <w:rPr>
                <w:lang w:val="en-GB"/>
              </w:rPr>
            </w:pPr>
          </w:p>
        </w:tc>
      </w:tr>
    </w:tbl>
    <w:p w:rsidR="00022155" w:rsidRPr="00AD6B99" w:rsidP="00974ADA" w14:paraId="31F6E9EA" w14:textId="77777777">
      <w:pPr>
        <w:pStyle w:val="Bodytext2"/>
        <w:rPr>
          <w:lang w:val="en-GB"/>
        </w:rPr>
      </w:pPr>
    </w:p>
    <w:p w:rsidR="00022155" w:rsidRPr="00AD6B99" w:rsidP="00022155" w14:paraId="687876E5" w14:textId="77777777">
      <w:pPr>
        <w:pStyle w:val="Heading13"/>
      </w:pPr>
      <w:r w:rsidRPr="00AD6B99">
        <w:t>Solvency ratio</w:t>
      </w:r>
    </w:p>
    <w:tbl>
      <w:tblPr>
        <w:tblStyle w:val="TableGrid0"/>
        <w:tblW w:w="0" w:type="auto"/>
        <w:tblInd w:w="5" w:type="dxa"/>
        <w:tblLook w:val="04A0"/>
      </w:tblPr>
      <w:tblGrid>
        <w:gridCol w:w="6799"/>
        <w:gridCol w:w="562"/>
      </w:tblGrid>
      <w:tr w14:paraId="40F13BD3" w14:textId="77777777" w:rsidTr="00022155">
        <w:tblPrEx>
          <w:tblW w:w="0" w:type="auto"/>
          <w:tblInd w:w="5" w:type="dxa"/>
          <w:tblLook w:val="04A0"/>
        </w:tblPrEx>
        <w:tc>
          <w:tcPr>
            <w:tcW w:w="6799" w:type="dxa"/>
            <w:tcBorders>
              <w:top w:val="nil"/>
              <w:left w:val="nil"/>
              <w:bottom w:val="single" w:sz="4" w:space="0" w:color="auto"/>
              <w:right w:val="nil"/>
            </w:tcBorders>
            <w:hideMark/>
          </w:tcPr>
          <w:p w:rsidR="00022155" w:rsidRPr="00AD6B99" w:rsidP="00022155" w14:paraId="70762B92" w14:textId="77777777">
            <w:pPr>
              <w:pStyle w:val="Bodytext2"/>
            </w:pPr>
            <w:r w:rsidRPr="00AD6B99">
              <w:t>Equity</w:t>
            </w:r>
          </w:p>
        </w:tc>
        <w:tc>
          <w:tcPr>
            <w:tcW w:w="562" w:type="dxa"/>
            <w:vMerge w:val="restart"/>
            <w:vAlign w:val="center"/>
            <w:hideMark/>
          </w:tcPr>
          <w:p w:rsidR="00022155" w:rsidRPr="00AD6B99" w:rsidP="00022155" w14:paraId="00726DF7" w14:textId="77777777">
            <w:pPr>
              <w:pStyle w:val="Bodytext2"/>
            </w:pPr>
            <w:r w:rsidRPr="00AD6B99">
              <w:t xml:space="preserve">   x 100</w:t>
            </w:r>
          </w:p>
        </w:tc>
      </w:tr>
      <w:tr w14:paraId="39DEC9B3" w14:textId="77777777" w:rsidTr="00022155">
        <w:tblPrEx>
          <w:tblW w:w="0" w:type="auto"/>
          <w:tblInd w:w="5" w:type="dxa"/>
          <w:tblLook w:val="04A0"/>
        </w:tblPrEx>
        <w:tc>
          <w:tcPr>
            <w:tcW w:w="6799" w:type="dxa"/>
            <w:tcBorders>
              <w:top w:val="single" w:sz="4" w:space="0" w:color="auto"/>
              <w:left w:val="nil"/>
              <w:bottom w:val="nil"/>
              <w:right w:val="nil"/>
            </w:tcBorders>
            <w:hideMark/>
          </w:tcPr>
          <w:p w:rsidR="00022155" w:rsidRPr="00AD6B99" w:rsidP="00022155" w14:paraId="0190F61C" w14:textId="77777777">
            <w:pPr>
              <w:pStyle w:val="Bodytext2"/>
              <w:rPr>
                <w:lang w:val="en-GB"/>
              </w:rPr>
            </w:pPr>
            <w:r w:rsidRPr="00AD6B99">
              <w:rPr>
                <w:lang w:val="en-GB"/>
              </w:rPr>
              <w:t>Total equity and liabilities – advances received</w:t>
            </w:r>
          </w:p>
        </w:tc>
        <w:tc>
          <w:tcPr>
            <w:tcW w:w="0" w:type="auto"/>
            <w:vMerge/>
            <w:vAlign w:val="center"/>
            <w:hideMark/>
          </w:tcPr>
          <w:p w:rsidR="00022155" w:rsidRPr="00AD6B99" w:rsidP="00022155" w14:paraId="313E30B1" w14:textId="77777777">
            <w:pPr>
              <w:pStyle w:val="Bodytext2"/>
              <w:rPr>
                <w:lang w:val="en-GB"/>
              </w:rPr>
            </w:pPr>
          </w:p>
        </w:tc>
      </w:tr>
    </w:tbl>
    <w:p w:rsidR="00022155" w:rsidRPr="00AD6B99" w:rsidP="00974ADA" w14:paraId="32EC9D60" w14:textId="77777777">
      <w:pPr>
        <w:pStyle w:val="Bodytext2"/>
      </w:pPr>
    </w:p>
    <w:p w:rsidR="00022155" w:rsidRPr="00AD6B99" w:rsidP="00022155" w14:paraId="3A5E36A7" w14:textId="77777777">
      <w:pPr>
        <w:pStyle w:val="Heading13"/>
      </w:pPr>
      <w:r w:rsidRPr="00AD6B99">
        <w:t>Gearing</w:t>
      </w:r>
    </w:p>
    <w:tbl>
      <w:tblPr>
        <w:tblStyle w:val="TableGrid0"/>
        <w:tblW w:w="0" w:type="auto"/>
        <w:tblInd w:w="5" w:type="dxa"/>
        <w:tblLook w:val="04A0"/>
      </w:tblPr>
      <w:tblGrid>
        <w:gridCol w:w="7345"/>
        <w:gridCol w:w="20"/>
      </w:tblGrid>
      <w:tr w14:paraId="1365976C" w14:textId="77777777" w:rsidTr="00022155">
        <w:tblPrEx>
          <w:tblW w:w="0" w:type="auto"/>
          <w:tblInd w:w="5" w:type="dxa"/>
          <w:tblLook w:val="04A0"/>
        </w:tblPrEx>
        <w:tc>
          <w:tcPr>
            <w:tcW w:w="7361" w:type="dxa"/>
            <w:tcBorders>
              <w:top w:val="nil"/>
              <w:left w:val="nil"/>
              <w:bottom w:val="single" w:sz="4" w:space="0" w:color="auto"/>
              <w:right w:val="nil"/>
            </w:tcBorders>
            <w:hideMark/>
          </w:tcPr>
          <w:p w:rsidR="00022155" w:rsidRPr="00AD6B99" w:rsidP="00022155" w14:paraId="4B638925" w14:textId="77777777">
            <w:pPr>
              <w:pStyle w:val="Bodytext2"/>
              <w:rPr>
                <w:lang w:val="en-GB"/>
              </w:rPr>
            </w:pPr>
            <w:r w:rsidRPr="00AD6B99">
              <w:rPr>
                <w:lang w:val="en-GB"/>
              </w:rPr>
              <w:t>Interest-bearing liabilities – cash and cash equivalents</w:t>
            </w:r>
          </w:p>
        </w:tc>
        <w:tc>
          <w:tcPr>
            <w:tcW w:w="20" w:type="dxa"/>
            <w:vMerge w:val="restart"/>
            <w:vAlign w:val="center"/>
          </w:tcPr>
          <w:p w:rsidR="00022155" w:rsidRPr="00AD6B99" w:rsidP="00022155" w14:paraId="44914089" w14:textId="77777777">
            <w:pPr>
              <w:pStyle w:val="Bodytext2"/>
              <w:rPr>
                <w:lang w:val="en-GB"/>
              </w:rPr>
            </w:pPr>
          </w:p>
        </w:tc>
      </w:tr>
      <w:tr w14:paraId="6074A812" w14:textId="77777777" w:rsidTr="00022155">
        <w:tblPrEx>
          <w:tblW w:w="0" w:type="auto"/>
          <w:tblInd w:w="5" w:type="dxa"/>
          <w:tblLook w:val="04A0"/>
        </w:tblPrEx>
        <w:tc>
          <w:tcPr>
            <w:tcW w:w="7361" w:type="dxa"/>
            <w:tcBorders>
              <w:top w:val="single" w:sz="4" w:space="0" w:color="auto"/>
              <w:left w:val="nil"/>
              <w:bottom w:val="nil"/>
              <w:right w:val="nil"/>
            </w:tcBorders>
            <w:hideMark/>
          </w:tcPr>
          <w:p w:rsidR="00022155" w:rsidRPr="00AD6B99" w:rsidP="00022155" w14:paraId="3B6EC0EF" w14:textId="550B2142">
            <w:pPr>
              <w:pStyle w:val="Bodytext2"/>
            </w:pPr>
            <w:r w:rsidRPr="00AD6B99">
              <w:t>Equity</w:t>
            </w:r>
          </w:p>
        </w:tc>
        <w:tc>
          <w:tcPr>
            <w:tcW w:w="0" w:type="auto"/>
            <w:vMerge/>
            <w:vAlign w:val="center"/>
            <w:hideMark/>
          </w:tcPr>
          <w:p w:rsidR="00022155" w:rsidRPr="00AD6B99" w:rsidP="00022155" w14:paraId="22EC5B3B" w14:textId="77777777">
            <w:pPr>
              <w:pStyle w:val="Bodytext2"/>
            </w:pPr>
          </w:p>
        </w:tc>
      </w:tr>
    </w:tbl>
    <w:p w:rsidR="00022155" w:rsidRPr="00AD6B99" w:rsidP="00022155" w14:paraId="6688D68A" w14:textId="77777777">
      <w:pPr>
        <w:pStyle w:val="Heading13"/>
      </w:pPr>
    </w:p>
    <w:p w:rsidR="00022155" w:rsidRPr="00AD6B99" w:rsidP="00022155" w14:paraId="766098DF" w14:textId="349C2D76">
      <w:pPr>
        <w:pStyle w:val="Heading13"/>
        <w:rPr>
          <w:rFonts w:asciiTheme="minorHAnsi" w:hAnsiTheme="minorHAnsi" w:cstheme="minorHAnsi"/>
          <w:lang w:eastAsia="fi-FI"/>
        </w:rPr>
      </w:pPr>
      <w:r w:rsidRPr="00AD6B99">
        <w:t>Return on investment (ROI)</w:t>
      </w:r>
    </w:p>
    <w:tbl>
      <w:tblPr>
        <w:tblStyle w:val="TableGrid0"/>
        <w:tblW w:w="0" w:type="auto"/>
        <w:tblInd w:w="5" w:type="dxa"/>
        <w:tblLook w:val="04A0"/>
      </w:tblPr>
      <w:tblGrid>
        <w:gridCol w:w="6799"/>
        <w:gridCol w:w="562"/>
      </w:tblGrid>
      <w:tr w14:paraId="37D7757A" w14:textId="77777777" w:rsidTr="00022155">
        <w:tblPrEx>
          <w:tblW w:w="0" w:type="auto"/>
          <w:tblInd w:w="5" w:type="dxa"/>
          <w:tblLook w:val="04A0"/>
        </w:tblPrEx>
        <w:tc>
          <w:tcPr>
            <w:tcW w:w="6799" w:type="dxa"/>
            <w:tcBorders>
              <w:top w:val="nil"/>
              <w:left w:val="nil"/>
              <w:bottom w:val="single" w:sz="4" w:space="0" w:color="auto"/>
              <w:right w:val="nil"/>
            </w:tcBorders>
            <w:hideMark/>
          </w:tcPr>
          <w:p w:rsidR="00022155" w:rsidRPr="00AD6B99" w:rsidP="00022155" w14:paraId="72D59726" w14:textId="77777777">
            <w:pPr>
              <w:pStyle w:val="Bodytext2"/>
              <w:rPr>
                <w:lang w:val="en-GB"/>
              </w:rPr>
            </w:pPr>
            <w:r w:rsidRPr="00AD6B99">
              <w:rPr>
                <w:lang w:val="en-GB"/>
              </w:rPr>
              <w:t xml:space="preserve">Profit before taxes + interest and other financial expenses </w:t>
            </w:r>
          </w:p>
        </w:tc>
        <w:tc>
          <w:tcPr>
            <w:tcW w:w="562" w:type="dxa"/>
            <w:vMerge w:val="restart"/>
            <w:vAlign w:val="center"/>
            <w:hideMark/>
          </w:tcPr>
          <w:p w:rsidR="00022155" w:rsidRPr="00AD6B99" w:rsidP="00022155" w14:paraId="07147BA1" w14:textId="77777777">
            <w:pPr>
              <w:pStyle w:val="Bodytext2"/>
            </w:pPr>
            <w:r w:rsidRPr="00AD6B99">
              <w:rPr>
                <w:lang w:val="en-GB"/>
              </w:rPr>
              <w:t xml:space="preserve">   </w:t>
            </w:r>
            <w:r w:rsidRPr="00AD6B99">
              <w:t>x 100</w:t>
            </w:r>
          </w:p>
        </w:tc>
      </w:tr>
      <w:tr w14:paraId="7FA05DEC" w14:textId="77777777" w:rsidTr="00022155">
        <w:tblPrEx>
          <w:tblW w:w="0" w:type="auto"/>
          <w:tblInd w:w="5" w:type="dxa"/>
          <w:tblLook w:val="04A0"/>
        </w:tblPrEx>
        <w:tc>
          <w:tcPr>
            <w:tcW w:w="6799" w:type="dxa"/>
            <w:tcBorders>
              <w:top w:val="single" w:sz="4" w:space="0" w:color="auto"/>
              <w:left w:val="nil"/>
              <w:bottom w:val="nil"/>
              <w:right w:val="nil"/>
            </w:tcBorders>
            <w:hideMark/>
          </w:tcPr>
          <w:p w:rsidR="00022155" w:rsidRPr="007C7DD5" w:rsidP="00022155" w14:paraId="5FC2A6AE" w14:textId="77777777">
            <w:pPr>
              <w:pStyle w:val="Bodytext2"/>
              <w:rPr>
                <w:lang w:val="en-GB"/>
              </w:rPr>
            </w:pPr>
            <w:r w:rsidRPr="00AD6B99">
              <w:rPr>
                <w:lang w:val="en-GB"/>
              </w:rPr>
              <w:t>Total equity and liabilities – non-interest-bearing liabilities – provisions, average over financial period</w:t>
            </w:r>
          </w:p>
        </w:tc>
        <w:tc>
          <w:tcPr>
            <w:tcW w:w="0" w:type="auto"/>
            <w:vMerge/>
            <w:vAlign w:val="center"/>
            <w:hideMark/>
          </w:tcPr>
          <w:p w:rsidR="00022155" w:rsidRPr="007C7DD5" w:rsidP="00022155" w14:paraId="4981477D" w14:textId="77777777">
            <w:pPr>
              <w:pStyle w:val="Bodytext2"/>
              <w:rPr>
                <w:lang w:val="en-GB"/>
              </w:rPr>
            </w:pPr>
          </w:p>
        </w:tc>
      </w:tr>
    </w:tbl>
    <w:p w:rsidR="00974ADA" w:rsidP="00974ADA" w14:paraId="5E203DBA" w14:textId="77777777">
      <w:pPr>
        <w:pStyle w:val="Bodytext2"/>
      </w:pPr>
    </w:p>
    <w:p w:rsidR="00022155" w:rsidP="00022155" w14:paraId="27088C97" w14:textId="1F962543">
      <w:pPr>
        <w:pStyle w:val="Heading13"/>
      </w:pPr>
      <w:r>
        <w:t>Return on equity (ROE)</w:t>
      </w:r>
    </w:p>
    <w:tbl>
      <w:tblPr>
        <w:tblStyle w:val="TableGrid0"/>
        <w:tblW w:w="0" w:type="auto"/>
        <w:tblInd w:w="5" w:type="dxa"/>
        <w:tblLook w:val="04A0"/>
      </w:tblPr>
      <w:tblGrid>
        <w:gridCol w:w="6799"/>
        <w:gridCol w:w="562"/>
      </w:tblGrid>
      <w:tr w14:paraId="35EE465C" w14:textId="77777777" w:rsidTr="00022155">
        <w:tblPrEx>
          <w:tblW w:w="0" w:type="auto"/>
          <w:tblInd w:w="5" w:type="dxa"/>
          <w:tblLook w:val="04A0"/>
        </w:tblPrEx>
        <w:tc>
          <w:tcPr>
            <w:tcW w:w="6799" w:type="dxa"/>
            <w:tcBorders>
              <w:top w:val="nil"/>
              <w:left w:val="nil"/>
              <w:bottom w:val="single" w:sz="4" w:space="0" w:color="auto"/>
              <w:right w:val="nil"/>
            </w:tcBorders>
            <w:hideMark/>
          </w:tcPr>
          <w:p w:rsidR="00022155" w:rsidRPr="007C7DD5" w:rsidP="00022155" w14:paraId="0E064670" w14:textId="77777777">
            <w:pPr>
              <w:pStyle w:val="Bodytext2"/>
              <w:rPr>
                <w:lang w:val="en-GB"/>
              </w:rPr>
            </w:pPr>
            <w:r w:rsidRPr="007C7DD5">
              <w:rPr>
                <w:lang w:val="en-GB"/>
              </w:rPr>
              <w:t>Profit for the financial period</w:t>
            </w:r>
          </w:p>
        </w:tc>
        <w:tc>
          <w:tcPr>
            <w:tcW w:w="562" w:type="dxa"/>
            <w:vMerge w:val="restart"/>
            <w:vAlign w:val="center"/>
            <w:hideMark/>
          </w:tcPr>
          <w:p w:rsidR="00022155" w:rsidP="00022155" w14:paraId="21C8F867" w14:textId="77777777">
            <w:pPr>
              <w:pStyle w:val="Bodytext2"/>
            </w:pPr>
            <w:r w:rsidRPr="007C7DD5">
              <w:rPr>
                <w:lang w:val="en-GB"/>
              </w:rPr>
              <w:t xml:space="preserve">   </w:t>
            </w:r>
            <w:r>
              <w:t>x 100</w:t>
            </w:r>
          </w:p>
        </w:tc>
      </w:tr>
      <w:tr w14:paraId="41323919" w14:textId="77777777" w:rsidTr="00022155">
        <w:tblPrEx>
          <w:tblW w:w="0" w:type="auto"/>
          <w:tblInd w:w="5" w:type="dxa"/>
          <w:tblLook w:val="04A0"/>
        </w:tblPrEx>
        <w:tc>
          <w:tcPr>
            <w:tcW w:w="6799" w:type="dxa"/>
            <w:tcBorders>
              <w:top w:val="single" w:sz="4" w:space="0" w:color="auto"/>
              <w:left w:val="nil"/>
              <w:bottom w:val="nil"/>
              <w:right w:val="nil"/>
            </w:tcBorders>
            <w:hideMark/>
          </w:tcPr>
          <w:p w:rsidR="00022155" w:rsidRPr="007C7DD5" w:rsidP="00022155" w14:paraId="110E0114" w14:textId="77777777">
            <w:pPr>
              <w:pStyle w:val="Bodytext2"/>
              <w:rPr>
                <w:lang w:val="en-GB"/>
              </w:rPr>
            </w:pPr>
            <w:r w:rsidRPr="007C7DD5">
              <w:rPr>
                <w:lang w:val="en-GB"/>
              </w:rPr>
              <w:t>Equity, average over the financial period</w:t>
            </w:r>
          </w:p>
        </w:tc>
        <w:tc>
          <w:tcPr>
            <w:tcW w:w="0" w:type="auto"/>
            <w:vMerge/>
            <w:vAlign w:val="center"/>
            <w:hideMark/>
          </w:tcPr>
          <w:p w:rsidR="00022155" w:rsidRPr="007C7DD5" w:rsidP="00022155" w14:paraId="614C24F2" w14:textId="77777777">
            <w:pPr>
              <w:pStyle w:val="Bodytext2"/>
              <w:rPr>
                <w:lang w:val="en-GB"/>
              </w:rPr>
            </w:pPr>
          </w:p>
        </w:tc>
      </w:tr>
    </w:tbl>
    <w:p w:rsidR="00490F3D" w:rsidP="00022155" w14:paraId="1429030A" w14:textId="6696F293">
      <w:pPr>
        <w:pStyle w:val="Heading13"/>
      </w:pPr>
    </w:p>
    <w:p w:rsidR="00022155" w:rsidP="00022155" w14:paraId="2FECA3B2" w14:textId="4AF42B2C">
      <w:pPr>
        <w:pStyle w:val="Heading13"/>
      </w:pPr>
      <w:r>
        <w:t>Order intake</w:t>
      </w:r>
    </w:p>
    <w:p w:rsidR="00022155" w:rsidP="00022155" w14:paraId="2450B03E" w14:textId="77777777">
      <w:pPr>
        <w:pStyle w:val="Bodytext2"/>
      </w:pPr>
      <w:r>
        <w:t>Total amount of orders received during the financial period to be delivered either during the current financial period or thereafter.</w:t>
      </w:r>
    </w:p>
    <w:p w:rsidR="00022155" w:rsidP="00022155" w14:paraId="4686066D" w14:textId="77777777">
      <w:pPr>
        <w:pStyle w:val="Bodytext2"/>
      </w:pPr>
    </w:p>
    <w:p w:rsidR="00022155" w:rsidP="00022155" w14:paraId="1EB15D84" w14:textId="77777777">
      <w:pPr>
        <w:pStyle w:val="Heading13"/>
      </w:pPr>
      <w:r>
        <w:t>Order book</w:t>
      </w:r>
    </w:p>
    <w:p w:rsidR="00022155" w:rsidP="00022155" w14:paraId="155D433C" w14:textId="744DE6F4">
      <w:pPr>
        <w:pStyle w:val="Bodytext2"/>
      </w:pPr>
      <w:r>
        <w:t>The presentation in value of orders that are placed by customers but not yet delivered. For service agreements, only the expected net sales for the next 24 months are included in the order book.</w:t>
      </w:r>
    </w:p>
    <w:p w:rsidR="00022155" w:rsidP="00022155" w14:paraId="35E903B4" w14:textId="77777777">
      <w:pPr>
        <w:pStyle w:val="Bodytext2"/>
      </w:pPr>
    </w:p>
    <w:p w:rsidR="00022155" w:rsidP="00022155" w14:paraId="473FDEFE" w14:textId="77777777">
      <w:pPr>
        <w:pStyle w:val="Heading13"/>
      </w:pPr>
      <w:r>
        <w:t>Working capital (WCAP)</w:t>
      </w:r>
    </w:p>
    <w:p w:rsidR="00022155" w:rsidP="00022155" w14:paraId="785A7E80" w14:textId="77777777">
      <w:pPr>
        <w:pStyle w:val="Bodytext2"/>
      </w:pPr>
      <w:r>
        <w:t>(Inventories + trade receivables + cu</w:t>
      </w:r>
      <w:r>
        <w:t>rrent tax receivables + other non-interest-bearing receivables)</w:t>
      </w:r>
    </w:p>
    <w:p w:rsidR="00022155" w:rsidP="00022155" w14:paraId="42B3F899" w14:textId="77777777">
      <w:pPr>
        <w:pStyle w:val="Bodytext2"/>
      </w:pPr>
      <w:r>
        <w:t>– (trade payables + advances received + pension obligations + provisions + current tax liabilities + other non-interest-bearing liabilities – dividend payable)</w:t>
      </w:r>
    </w:p>
    <w:p w:rsidR="00022155" w:rsidP="00022155" w14:paraId="0D54E86A" w14:textId="18686806">
      <w:pPr>
        <w:pStyle w:val="Bodytext2"/>
      </w:pPr>
    </w:p>
    <w:p w:rsidR="00022155" w:rsidP="00022155" w14:paraId="0D64F464" w14:textId="7CF2D618">
      <w:pPr>
        <w:pStyle w:val="Heading13"/>
      </w:pPr>
      <w:r>
        <w:t>Interest coverage</w:t>
      </w:r>
    </w:p>
    <w:tbl>
      <w:tblPr>
        <w:tblStyle w:val="TableGrid0"/>
        <w:tblW w:w="0" w:type="auto"/>
        <w:tblInd w:w="5" w:type="dxa"/>
        <w:tblLook w:val="04A0"/>
      </w:tblPr>
      <w:tblGrid>
        <w:gridCol w:w="7345"/>
        <w:gridCol w:w="20"/>
      </w:tblGrid>
      <w:tr w14:paraId="07681E27" w14:textId="77777777" w:rsidTr="00022155">
        <w:tblPrEx>
          <w:tblW w:w="0" w:type="auto"/>
          <w:tblInd w:w="5" w:type="dxa"/>
          <w:tblLook w:val="04A0"/>
        </w:tblPrEx>
        <w:tc>
          <w:tcPr>
            <w:tcW w:w="7361" w:type="dxa"/>
            <w:tcBorders>
              <w:top w:val="nil"/>
              <w:left w:val="nil"/>
              <w:bottom w:val="single" w:sz="4" w:space="0" w:color="auto"/>
              <w:right w:val="nil"/>
            </w:tcBorders>
            <w:hideMark/>
          </w:tcPr>
          <w:p w:rsidR="00022155" w:rsidRPr="007C7DD5" w:rsidP="00022155" w14:paraId="7500578C" w14:textId="77777777">
            <w:pPr>
              <w:pStyle w:val="Bodytext2"/>
              <w:rPr>
                <w:lang w:val="en-GB"/>
              </w:rPr>
            </w:pPr>
            <w:r w:rsidRPr="007C7DD5">
              <w:rPr>
                <w:lang w:val="en-GB"/>
              </w:rPr>
              <w:t>Profit before</w:t>
            </w:r>
            <w:r w:rsidRPr="007C7DD5">
              <w:rPr>
                <w:lang w:val="en-GB"/>
              </w:rPr>
              <w:t xml:space="preserve"> taxes + depreciation, amortisation and impairment + interest and other financial expenses</w:t>
            </w:r>
          </w:p>
        </w:tc>
        <w:tc>
          <w:tcPr>
            <w:tcW w:w="20" w:type="dxa"/>
            <w:vMerge w:val="restart"/>
            <w:vAlign w:val="center"/>
          </w:tcPr>
          <w:p w:rsidR="00022155" w:rsidRPr="007C7DD5" w:rsidP="00022155" w14:paraId="292B910B" w14:textId="77777777">
            <w:pPr>
              <w:pStyle w:val="Bodytext2"/>
              <w:rPr>
                <w:lang w:val="en-GB"/>
              </w:rPr>
            </w:pPr>
          </w:p>
        </w:tc>
      </w:tr>
      <w:tr w14:paraId="5431E409" w14:textId="77777777" w:rsidTr="00022155">
        <w:tblPrEx>
          <w:tblW w:w="0" w:type="auto"/>
          <w:tblInd w:w="5" w:type="dxa"/>
          <w:tblLook w:val="04A0"/>
        </w:tblPrEx>
        <w:tc>
          <w:tcPr>
            <w:tcW w:w="7361" w:type="dxa"/>
            <w:tcBorders>
              <w:top w:val="single" w:sz="4" w:space="0" w:color="auto"/>
              <w:left w:val="nil"/>
              <w:bottom w:val="nil"/>
              <w:right w:val="nil"/>
            </w:tcBorders>
            <w:hideMark/>
          </w:tcPr>
          <w:p w:rsidR="00022155" w:rsidRPr="007C7DD5" w:rsidP="00022155" w14:paraId="405978C3" w14:textId="77777777">
            <w:pPr>
              <w:pStyle w:val="Bodytext2"/>
              <w:rPr>
                <w:lang w:val="en-GB"/>
              </w:rPr>
            </w:pPr>
            <w:r w:rsidRPr="007C7DD5">
              <w:rPr>
                <w:lang w:val="en-GB"/>
              </w:rPr>
              <w:t>Interest and other financial expenses</w:t>
            </w:r>
          </w:p>
        </w:tc>
        <w:tc>
          <w:tcPr>
            <w:tcW w:w="0" w:type="auto"/>
            <w:vMerge/>
            <w:vAlign w:val="center"/>
            <w:hideMark/>
          </w:tcPr>
          <w:p w:rsidR="00022155" w:rsidRPr="007C7DD5" w:rsidP="00022155" w14:paraId="437AAC54" w14:textId="77777777">
            <w:pPr>
              <w:pStyle w:val="Bodytext2"/>
              <w:rPr>
                <w:lang w:val="en-GB"/>
              </w:rPr>
            </w:pPr>
          </w:p>
        </w:tc>
      </w:tr>
    </w:tbl>
    <w:p w:rsidR="00022155" w:rsidP="00022155" w14:paraId="1AE36576" w14:textId="77777777">
      <w:pPr>
        <w:pStyle w:val="Heading13"/>
      </w:pPr>
      <w:r>
        <w:t>Dividend per share</w:t>
      </w:r>
    </w:p>
    <w:tbl>
      <w:tblPr>
        <w:tblStyle w:val="TableGrid0"/>
        <w:tblW w:w="0" w:type="auto"/>
        <w:tblInd w:w="5" w:type="dxa"/>
        <w:tblLook w:val="04A0"/>
      </w:tblPr>
      <w:tblGrid>
        <w:gridCol w:w="7345"/>
        <w:gridCol w:w="20"/>
      </w:tblGrid>
      <w:tr w14:paraId="55A996A3" w14:textId="77777777" w:rsidTr="00022155">
        <w:tblPrEx>
          <w:tblW w:w="0" w:type="auto"/>
          <w:tblInd w:w="5" w:type="dxa"/>
          <w:tblLook w:val="04A0"/>
        </w:tblPrEx>
        <w:tc>
          <w:tcPr>
            <w:tcW w:w="7361" w:type="dxa"/>
            <w:tcBorders>
              <w:top w:val="nil"/>
              <w:left w:val="nil"/>
              <w:bottom w:val="single" w:sz="4" w:space="0" w:color="auto"/>
              <w:right w:val="nil"/>
            </w:tcBorders>
            <w:hideMark/>
          </w:tcPr>
          <w:p w:rsidR="00022155" w:rsidRPr="007C7DD5" w:rsidP="00022155" w14:paraId="20B82ADF" w14:textId="77777777">
            <w:pPr>
              <w:pStyle w:val="Bodytext2"/>
              <w:rPr>
                <w:lang w:val="en-GB"/>
              </w:rPr>
            </w:pPr>
            <w:r w:rsidRPr="007C7DD5">
              <w:rPr>
                <w:lang w:val="en-GB"/>
              </w:rPr>
              <w:t>Dividends paid for the financial period</w:t>
            </w:r>
          </w:p>
        </w:tc>
        <w:tc>
          <w:tcPr>
            <w:tcW w:w="20" w:type="dxa"/>
            <w:vMerge w:val="restart"/>
            <w:vAlign w:val="center"/>
          </w:tcPr>
          <w:p w:rsidR="00022155" w:rsidRPr="007C7DD5" w:rsidP="00022155" w14:paraId="54518008" w14:textId="77777777">
            <w:pPr>
              <w:pStyle w:val="Bodytext2"/>
              <w:rPr>
                <w:lang w:val="en-GB"/>
              </w:rPr>
            </w:pPr>
          </w:p>
        </w:tc>
      </w:tr>
      <w:tr w14:paraId="21388E19" w14:textId="77777777" w:rsidTr="00022155">
        <w:tblPrEx>
          <w:tblW w:w="0" w:type="auto"/>
          <w:tblInd w:w="5" w:type="dxa"/>
          <w:tblLook w:val="04A0"/>
        </w:tblPrEx>
        <w:tc>
          <w:tcPr>
            <w:tcW w:w="7361" w:type="dxa"/>
            <w:tcBorders>
              <w:top w:val="single" w:sz="4" w:space="0" w:color="auto"/>
              <w:left w:val="nil"/>
              <w:bottom w:val="nil"/>
              <w:right w:val="nil"/>
            </w:tcBorders>
            <w:hideMark/>
          </w:tcPr>
          <w:p w:rsidR="00022155" w:rsidRPr="007C7DD5" w:rsidP="00022155" w14:paraId="6604BBFC" w14:textId="2B01B601">
            <w:pPr>
              <w:pStyle w:val="Bodytext2"/>
              <w:rPr>
                <w:lang w:val="en-GB"/>
              </w:rPr>
            </w:pPr>
            <w:r w:rsidRPr="00AD6B99">
              <w:rPr>
                <w:lang w:val="en-GB"/>
              </w:rPr>
              <w:t>Number of shares outstanding at the</w:t>
            </w:r>
            <w:r w:rsidRPr="007C7DD5">
              <w:rPr>
                <w:lang w:val="en-GB"/>
              </w:rPr>
              <w:t xml:space="preserve"> end of the financial period</w:t>
            </w:r>
          </w:p>
        </w:tc>
        <w:tc>
          <w:tcPr>
            <w:tcW w:w="0" w:type="auto"/>
            <w:vMerge/>
            <w:vAlign w:val="center"/>
            <w:hideMark/>
          </w:tcPr>
          <w:p w:rsidR="00022155" w:rsidRPr="007C7DD5" w:rsidP="00022155" w14:paraId="5EACAB68" w14:textId="77777777">
            <w:pPr>
              <w:pStyle w:val="Bodytext2"/>
              <w:rPr>
                <w:lang w:val="en-GB"/>
              </w:rPr>
            </w:pPr>
          </w:p>
        </w:tc>
      </w:tr>
    </w:tbl>
    <w:p w:rsidR="00276F53" w:rsidP="00022155" w14:paraId="44811843" w14:textId="77777777">
      <w:pPr>
        <w:pStyle w:val="Heading13"/>
      </w:pPr>
    </w:p>
    <w:p w:rsidR="00022155" w:rsidRPr="00045B7A" w:rsidP="00022155" w14:paraId="2C3C057B" w14:textId="70BAACB9">
      <w:pPr>
        <w:pStyle w:val="Heading13"/>
      </w:pPr>
      <w:r w:rsidRPr="00045B7A">
        <w:t>Dividend per earnings</w:t>
      </w:r>
    </w:p>
    <w:tbl>
      <w:tblPr>
        <w:tblStyle w:val="TableGrid0"/>
        <w:tblW w:w="0" w:type="auto"/>
        <w:tblInd w:w="5" w:type="dxa"/>
        <w:tblLook w:val="04A0"/>
      </w:tblPr>
      <w:tblGrid>
        <w:gridCol w:w="6799"/>
        <w:gridCol w:w="562"/>
      </w:tblGrid>
      <w:tr w14:paraId="7BBAEDDB" w14:textId="77777777" w:rsidTr="00022155">
        <w:tblPrEx>
          <w:tblW w:w="0" w:type="auto"/>
          <w:tblInd w:w="5" w:type="dxa"/>
          <w:tblLook w:val="04A0"/>
        </w:tblPrEx>
        <w:tc>
          <w:tcPr>
            <w:tcW w:w="6799" w:type="dxa"/>
            <w:tcBorders>
              <w:top w:val="nil"/>
              <w:left w:val="nil"/>
              <w:bottom w:val="single" w:sz="4" w:space="0" w:color="auto"/>
              <w:right w:val="nil"/>
            </w:tcBorders>
            <w:hideMark/>
          </w:tcPr>
          <w:p w:rsidR="00022155" w:rsidRPr="00045B7A" w:rsidP="00022155" w14:paraId="15AB0B4A" w14:textId="77777777">
            <w:pPr>
              <w:pStyle w:val="Bodytext2"/>
            </w:pPr>
            <w:r w:rsidRPr="00045B7A">
              <w:t>Dividend per share</w:t>
            </w:r>
          </w:p>
        </w:tc>
        <w:tc>
          <w:tcPr>
            <w:tcW w:w="562" w:type="dxa"/>
            <w:vMerge w:val="restart"/>
            <w:vAlign w:val="center"/>
            <w:hideMark/>
          </w:tcPr>
          <w:p w:rsidR="00022155" w:rsidRPr="00045B7A" w:rsidP="00022155" w14:paraId="5DDCD3EC" w14:textId="77777777">
            <w:pPr>
              <w:pStyle w:val="Bodytext2"/>
            </w:pPr>
            <w:r w:rsidRPr="00045B7A">
              <w:t xml:space="preserve">   x 100</w:t>
            </w:r>
          </w:p>
        </w:tc>
      </w:tr>
      <w:tr w14:paraId="36B51594" w14:textId="77777777" w:rsidTr="00022155">
        <w:tblPrEx>
          <w:tblW w:w="0" w:type="auto"/>
          <w:tblInd w:w="5" w:type="dxa"/>
          <w:tblLook w:val="04A0"/>
        </w:tblPrEx>
        <w:tc>
          <w:tcPr>
            <w:tcW w:w="6799" w:type="dxa"/>
            <w:tcBorders>
              <w:top w:val="single" w:sz="4" w:space="0" w:color="auto"/>
              <w:left w:val="nil"/>
              <w:bottom w:val="nil"/>
              <w:right w:val="nil"/>
            </w:tcBorders>
            <w:hideMark/>
          </w:tcPr>
          <w:p w:rsidR="00022155" w:rsidRPr="007C7DD5" w:rsidP="00022155" w14:paraId="4D43E4B1" w14:textId="274B7A84">
            <w:pPr>
              <w:pStyle w:val="Bodytext2"/>
              <w:rPr>
                <w:lang w:val="en-GB"/>
              </w:rPr>
            </w:pPr>
            <w:r w:rsidRPr="00045B7A">
              <w:rPr>
                <w:lang w:val="en-GB"/>
              </w:rPr>
              <w:t>Earnings per share (EPS), basic</w:t>
            </w:r>
          </w:p>
        </w:tc>
        <w:tc>
          <w:tcPr>
            <w:tcW w:w="0" w:type="auto"/>
            <w:vMerge/>
            <w:vAlign w:val="center"/>
            <w:hideMark/>
          </w:tcPr>
          <w:p w:rsidR="00022155" w:rsidRPr="007C7DD5" w:rsidP="00022155" w14:paraId="40A93723" w14:textId="77777777">
            <w:pPr>
              <w:pStyle w:val="Bodytext2"/>
              <w:rPr>
                <w:lang w:val="en-GB"/>
              </w:rPr>
            </w:pPr>
          </w:p>
        </w:tc>
      </w:tr>
    </w:tbl>
    <w:p w:rsidR="00022155" w:rsidRPr="00974ADA" w:rsidP="00974ADA" w14:paraId="5C099CC4" w14:textId="77777777">
      <w:pPr>
        <w:pStyle w:val="Bodytext2"/>
      </w:pPr>
    </w:p>
    <w:p w:rsidR="00022155" w:rsidP="00022155" w14:paraId="77CFE869" w14:textId="77777777">
      <w:pPr>
        <w:pStyle w:val="Heading13"/>
      </w:pPr>
      <w:r>
        <w:t>Effective dividend yield</w:t>
      </w:r>
    </w:p>
    <w:tbl>
      <w:tblPr>
        <w:tblStyle w:val="TableGrid0"/>
        <w:tblW w:w="0" w:type="auto"/>
        <w:tblInd w:w="5" w:type="dxa"/>
        <w:tblLook w:val="04A0"/>
      </w:tblPr>
      <w:tblGrid>
        <w:gridCol w:w="6799"/>
        <w:gridCol w:w="562"/>
      </w:tblGrid>
      <w:tr w14:paraId="78AB45E2" w14:textId="77777777" w:rsidTr="00022155">
        <w:tblPrEx>
          <w:tblW w:w="0" w:type="auto"/>
          <w:tblInd w:w="5" w:type="dxa"/>
          <w:tblLook w:val="04A0"/>
        </w:tblPrEx>
        <w:tc>
          <w:tcPr>
            <w:tcW w:w="6799" w:type="dxa"/>
            <w:tcBorders>
              <w:top w:val="nil"/>
              <w:left w:val="nil"/>
              <w:bottom w:val="single" w:sz="4" w:space="0" w:color="auto"/>
              <w:right w:val="nil"/>
            </w:tcBorders>
            <w:hideMark/>
          </w:tcPr>
          <w:p w:rsidR="00022155" w:rsidP="00022155" w14:paraId="7E1402D8" w14:textId="77777777">
            <w:pPr>
              <w:pStyle w:val="Bodytext2"/>
            </w:pPr>
            <w:r>
              <w:t>Dividend per share</w:t>
            </w:r>
          </w:p>
        </w:tc>
        <w:tc>
          <w:tcPr>
            <w:tcW w:w="562" w:type="dxa"/>
            <w:vMerge w:val="restart"/>
            <w:vAlign w:val="center"/>
            <w:hideMark/>
          </w:tcPr>
          <w:p w:rsidR="00022155" w:rsidP="00022155" w14:paraId="60BE1EAA" w14:textId="77777777">
            <w:pPr>
              <w:pStyle w:val="Bodytext2"/>
            </w:pPr>
            <w:r>
              <w:t xml:space="preserve">   x 100</w:t>
            </w:r>
          </w:p>
        </w:tc>
      </w:tr>
      <w:tr w14:paraId="38890496" w14:textId="77777777" w:rsidTr="00022155">
        <w:tblPrEx>
          <w:tblW w:w="0" w:type="auto"/>
          <w:tblInd w:w="5" w:type="dxa"/>
          <w:tblLook w:val="04A0"/>
        </w:tblPrEx>
        <w:tc>
          <w:tcPr>
            <w:tcW w:w="6799" w:type="dxa"/>
            <w:tcBorders>
              <w:top w:val="single" w:sz="4" w:space="0" w:color="auto"/>
              <w:left w:val="nil"/>
              <w:bottom w:val="nil"/>
              <w:right w:val="nil"/>
            </w:tcBorders>
            <w:hideMark/>
          </w:tcPr>
          <w:p w:rsidR="00022155" w:rsidRPr="007C7DD5" w:rsidP="00022155" w14:paraId="5DA4DF0B" w14:textId="77777777">
            <w:pPr>
              <w:pStyle w:val="Bodytext2"/>
              <w:rPr>
                <w:lang w:val="en-GB"/>
              </w:rPr>
            </w:pPr>
            <w:r w:rsidRPr="007C7DD5">
              <w:rPr>
                <w:lang w:val="en-GB"/>
              </w:rPr>
              <w:t>Adjusted share price at the end of the financial period</w:t>
            </w:r>
          </w:p>
        </w:tc>
        <w:tc>
          <w:tcPr>
            <w:tcW w:w="0" w:type="auto"/>
            <w:vMerge/>
            <w:vAlign w:val="center"/>
            <w:hideMark/>
          </w:tcPr>
          <w:p w:rsidR="00022155" w:rsidRPr="007C7DD5" w:rsidP="00022155" w14:paraId="190D9139" w14:textId="77777777">
            <w:pPr>
              <w:pStyle w:val="Bodytext2"/>
              <w:rPr>
                <w:lang w:val="en-GB"/>
              </w:rPr>
            </w:pPr>
          </w:p>
        </w:tc>
      </w:tr>
    </w:tbl>
    <w:p w:rsidR="00567A42" w:rsidP="00022155" w14:paraId="4B600EAD" w14:textId="4AC8E472">
      <w:pPr>
        <w:pStyle w:val="Heading13"/>
        <w:rPr>
          <w:sz w:val="2"/>
          <w:szCs w:val="2"/>
          <w:lang w:val="en-GB"/>
        </w:rPr>
      </w:pPr>
    </w:p>
    <w:p w:rsidR="00871476" w:rsidP="00022155" w14:paraId="21CC9B42" w14:textId="77777777">
      <w:pPr>
        <w:pStyle w:val="Heading13"/>
        <w:rPr>
          <w:lang w:val="en-GB"/>
        </w:rPr>
      </w:pPr>
    </w:p>
    <w:p w:rsidR="00022155" w:rsidRPr="00045B7A" w:rsidP="00022155" w14:paraId="394620B6" w14:textId="519D7CE1">
      <w:pPr>
        <w:pStyle w:val="Heading13"/>
      </w:pPr>
      <w:r w:rsidRPr="00045B7A">
        <w:t>Price/earnings (P/E)</w:t>
      </w:r>
    </w:p>
    <w:tbl>
      <w:tblPr>
        <w:tblStyle w:val="TableGrid0"/>
        <w:tblW w:w="0" w:type="auto"/>
        <w:tblInd w:w="5" w:type="dxa"/>
        <w:tblLook w:val="04A0"/>
      </w:tblPr>
      <w:tblGrid>
        <w:gridCol w:w="7345"/>
        <w:gridCol w:w="20"/>
      </w:tblGrid>
      <w:tr w14:paraId="6930CCCC" w14:textId="77777777" w:rsidTr="00022155">
        <w:tblPrEx>
          <w:tblW w:w="0" w:type="auto"/>
          <w:tblInd w:w="5" w:type="dxa"/>
          <w:tblLook w:val="04A0"/>
        </w:tblPrEx>
        <w:tc>
          <w:tcPr>
            <w:tcW w:w="7361" w:type="dxa"/>
            <w:tcBorders>
              <w:top w:val="nil"/>
              <w:left w:val="nil"/>
              <w:bottom w:val="single" w:sz="4" w:space="0" w:color="auto"/>
              <w:right w:val="nil"/>
            </w:tcBorders>
            <w:hideMark/>
          </w:tcPr>
          <w:p w:rsidR="00022155" w:rsidRPr="00045B7A" w:rsidP="00022155" w14:paraId="5261C041" w14:textId="77777777">
            <w:pPr>
              <w:pStyle w:val="Bodytext2"/>
              <w:rPr>
                <w:lang w:val="en-GB"/>
              </w:rPr>
            </w:pPr>
            <w:r w:rsidRPr="00045B7A">
              <w:rPr>
                <w:lang w:val="en-GB"/>
              </w:rPr>
              <w:t>Adjusted share price at the end of the financial period</w:t>
            </w:r>
          </w:p>
        </w:tc>
        <w:tc>
          <w:tcPr>
            <w:tcW w:w="20" w:type="dxa"/>
            <w:vMerge w:val="restart"/>
            <w:vAlign w:val="center"/>
          </w:tcPr>
          <w:p w:rsidR="00022155" w:rsidRPr="00045B7A" w:rsidP="00022155" w14:paraId="0B196B29" w14:textId="77777777">
            <w:pPr>
              <w:pStyle w:val="Bodytext2"/>
              <w:rPr>
                <w:lang w:val="en-GB"/>
              </w:rPr>
            </w:pPr>
          </w:p>
        </w:tc>
      </w:tr>
      <w:tr w14:paraId="39F1A273" w14:textId="77777777" w:rsidTr="00022155">
        <w:tblPrEx>
          <w:tblW w:w="0" w:type="auto"/>
          <w:tblInd w:w="5" w:type="dxa"/>
          <w:tblLook w:val="04A0"/>
        </w:tblPrEx>
        <w:tc>
          <w:tcPr>
            <w:tcW w:w="7361" w:type="dxa"/>
            <w:tcBorders>
              <w:top w:val="single" w:sz="4" w:space="0" w:color="auto"/>
              <w:left w:val="nil"/>
              <w:bottom w:val="nil"/>
              <w:right w:val="nil"/>
            </w:tcBorders>
            <w:hideMark/>
          </w:tcPr>
          <w:p w:rsidR="00022155" w:rsidRPr="007C7DD5" w:rsidP="00022155" w14:paraId="102DA433" w14:textId="2287EDE0">
            <w:pPr>
              <w:pStyle w:val="Bodytext2"/>
              <w:rPr>
                <w:lang w:val="en-GB"/>
              </w:rPr>
            </w:pPr>
            <w:r w:rsidRPr="00045B7A">
              <w:rPr>
                <w:lang w:val="en-GB"/>
              </w:rPr>
              <w:t>Earnings per share (EPS), basic</w:t>
            </w:r>
          </w:p>
        </w:tc>
        <w:tc>
          <w:tcPr>
            <w:tcW w:w="0" w:type="auto"/>
            <w:vMerge/>
            <w:vAlign w:val="center"/>
            <w:hideMark/>
          </w:tcPr>
          <w:p w:rsidR="00022155" w:rsidRPr="007C7DD5" w:rsidP="00022155" w14:paraId="4200F632" w14:textId="77777777">
            <w:pPr>
              <w:pStyle w:val="Bodytext2"/>
              <w:rPr>
                <w:lang w:val="en-GB"/>
              </w:rPr>
            </w:pPr>
          </w:p>
        </w:tc>
      </w:tr>
    </w:tbl>
    <w:p w:rsidR="00022155" w:rsidP="00974ADA" w14:paraId="05F1D7CB" w14:textId="0823C173">
      <w:pPr>
        <w:pStyle w:val="Bodytext2"/>
      </w:pPr>
    </w:p>
    <w:p w:rsidR="00022155" w:rsidP="00022155" w14:paraId="29F03B33" w14:textId="77777777">
      <w:pPr>
        <w:pStyle w:val="Heading13"/>
      </w:pPr>
      <w:r>
        <w:t>Price/carrying amount per share (P/BV)</w:t>
      </w:r>
    </w:p>
    <w:tbl>
      <w:tblPr>
        <w:tblStyle w:val="TableGrid0"/>
        <w:tblW w:w="0" w:type="auto"/>
        <w:tblInd w:w="5" w:type="dxa"/>
        <w:tblLook w:val="04A0"/>
      </w:tblPr>
      <w:tblGrid>
        <w:gridCol w:w="7345"/>
        <w:gridCol w:w="20"/>
      </w:tblGrid>
      <w:tr w14:paraId="2935F95A" w14:textId="77777777" w:rsidTr="00022155">
        <w:tblPrEx>
          <w:tblW w:w="0" w:type="auto"/>
          <w:tblInd w:w="5" w:type="dxa"/>
          <w:tblLook w:val="04A0"/>
        </w:tblPrEx>
        <w:tc>
          <w:tcPr>
            <w:tcW w:w="7361" w:type="dxa"/>
            <w:tcBorders>
              <w:top w:val="nil"/>
              <w:left w:val="nil"/>
              <w:bottom w:val="single" w:sz="4" w:space="0" w:color="auto"/>
              <w:right w:val="nil"/>
            </w:tcBorders>
            <w:hideMark/>
          </w:tcPr>
          <w:p w:rsidR="00022155" w:rsidRPr="007C7DD5" w:rsidP="00022155" w14:paraId="001BCCB4" w14:textId="77777777">
            <w:pPr>
              <w:pStyle w:val="Bodytext2"/>
              <w:rPr>
                <w:lang w:val="en-GB"/>
              </w:rPr>
            </w:pPr>
            <w:r w:rsidRPr="007C7DD5">
              <w:rPr>
                <w:lang w:val="en-GB"/>
              </w:rPr>
              <w:t>Adjusted share price at the end of the financial period</w:t>
            </w:r>
          </w:p>
        </w:tc>
        <w:tc>
          <w:tcPr>
            <w:tcW w:w="20" w:type="dxa"/>
            <w:vMerge w:val="restart"/>
            <w:vAlign w:val="center"/>
          </w:tcPr>
          <w:p w:rsidR="00022155" w:rsidRPr="007C7DD5" w:rsidP="00022155" w14:paraId="4588B935" w14:textId="77777777">
            <w:pPr>
              <w:pStyle w:val="Bodytext2"/>
              <w:rPr>
                <w:lang w:val="en-GB"/>
              </w:rPr>
            </w:pPr>
          </w:p>
        </w:tc>
      </w:tr>
      <w:tr w14:paraId="141134D5" w14:textId="77777777" w:rsidTr="00022155">
        <w:tblPrEx>
          <w:tblW w:w="0" w:type="auto"/>
          <w:tblInd w:w="5" w:type="dxa"/>
          <w:tblLook w:val="04A0"/>
        </w:tblPrEx>
        <w:tc>
          <w:tcPr>
            <w:tcW w:w="7361" w:type="dxa"/>
            <w:tcBorders>
              <w:top w:val="single" w:sz="4" w:space="0" w:color="auto"/>
              <w:left w:val="nil"/>
              <w:bottom w:val="nil"/>
              <w:right w:val="nil"/>
            </w:tcBorders>
            <w:hideMark/>
          </w:tcPr>
          <w:p w:rsidR="00022155" w:rsidP="00022155" w14:paraId="16ABC46B" w14:textId="77777777">
            <w:pPr>
              <w:pStyle w:val="Bodytext2"/>
            </w:pPr>
            <w:r>
              <w:t>Equity per share</w:t>
            </w:r>
          </w:p>
        </w:tc>
        <w:tc>
          <w:tcPr>
            <w:tcW w:w="0" w:type="auto"/>
            <w:vMerge/>
            <w:vAlign w:val="center"/>
            <w:hideMark/>
          </w:tcPr>
          <w:p w:rsidR="00022155" w:rsidP="00022155" w14:paraId="569B04BA" w14:textId="77777777">
            <w:pPr>
              <w:pStyle w:val="Bodytext2"/>
            </w:pPr>
          </w:p>
        </w:tc>
      </w:tr>
    </w:tbl>
    <w:p w:rsidR="00022155" w:rsidRPr="00BA14A7" w:rsidP="00022155" w14:paraId="73247A03" w14:textId="6F81E0F4">
      <w:pPr>
        <w:pStyle w:val="Bodytext2"/>
        <w:rPr>
          <w:sz w:val="2"/>
          <w:szCs w:val="2"/>
        </w:rPr>
      </w:pPr>
      <w:r>
        <w:br w:type="page"/>
      </w:r>
    </w:p>
    <w:p w:rsidR="00022155" w:rsidRPr="00B25906" w:rsidP="00022155" w14:paraId="649FDD96" w14:textId="77777777">
      <w:pPr>
        <w:pStyle w:val="Bodytext2"/>
        <w:rPr>
          <w:rFonts w:asciiTheme="minorHAnsi" w:hAnsiTheme="minorHAnsi" w:cstheme="minorHAnsi"/>
          <w:sz w:val="2"/>
          <w:szCs w:val="2"/>
          <w:lang w:eastAsia="fi-FI"/>
        </w:rPr>
      </w:pPr>
      <w:r>
        <w:t xml:space="preserve"> </w:t>
      </w:r>
    </w:p>
    <w:p w:rsidR="008F0E88" w:rsidRPr="00AC3580" w:rsidP="00AC3580" w14:paraId="12CF31FB" w14:textId="77777777">
      <w:pPr>
        <w:pStyle w:val="Heading10"/>
      </w:pPr>
      <w:bookmarkStart w:id="35" w:name="RG_MARKER_7348"/>
      <w:bookmarkStart w:id="36" w:name="RG_MARKER_7298"/>
      <w:bookmarkStart w:id="37" w:name="RG_MARKER_7078"/>
      <w:r w:rsidRPr="00AC3580">
        <w:t>FINANCIAL STATEMENTS</w:t>
      </w:r>
      <w:bookmarkEnd w:id="37"/>
      <w:bookmarkEnd w:id="36"/>
      <w:bookmarkEnd w:id="35"/>
    </w:p>
    <w:p w:rsidR="008F0E88" w:rsidRPr="00AC3580" w:rsidP="00AC3580" w14:paraId="4052A09E" w14:textId="77777777">
      <w:pPr>
        <w:pStyle w:val="Heading10"/>
      </w:pPr>
      <w:r w:rsidRPr="00AC3580">
        <w:t>CONSOLIDATED FINANCIAL STATEMENTS</w:t>
      </w:r>
    </w:p>
    <w:p w:rsidR="008F0E88" w:rsidRPr="00D50EA2" w:rsidP="0085453F" w14:paraId="2E790346" w14:textId="3E37D109">
      <w:pPr>
        <w:pStyle w:val="Heading105"/>
        <w:spacing w:after="120"/>
      </w:pPr>
      <w:r w:rsidRPr="008F0E88">
        <w:t>CONSOLIDATED STATEMENT OF INCOME</w:t>
      </w:r>
    </w:p>
    <w:p/>
    <w:tbl>
      <w:tblPr>
        <w:tblStyle w:val="CDMRange1"/>
        <w:tblW w:w="7365" w:type="dxa"/>
        <w:tblLayout w:type="fixed"/>
        <w:tblLook w:val="0600"/>
      </w:tblPr>
      <w:tblGrid>
        <w:gridCol w:w="3885"/>
        <w:gridCol w:w="1200"/>
        <w:gridCol w:w="1200"/>
        <w:gridCol w:w="1080"/>
      </w:tblGrid>
      <w:tr>
        <w:tblPrEx>
          <w:tblW w:w="7365" w:type="dxa"/>
          <w:tblLayout w:type="fixed"/>
          <w:tblLook w:val="0600"/>
        </w:tblPrEx>
        <w:trPr>
          <w:trHeight w:hRule="exact" w:val="240"/>
        </w:trPr>
        <w:tc>
          <w:tcPr>
            <w:tcW w:w="388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0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0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Note</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Net sales</w:t>
            </w: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8" w:name="XBRL_CS_c4199389c7e2413d995ae462624ad815"/>
            <w:bookmarkEnd w:id="38"/>
            <w:bookmarkStart w:id="39" w:name="c4199389c7e2413d995ae462624ad815"/>
            <w:r>
              <w:rPr>
                <w:rFonts w:ascii="Arial" w:eastAsia="Arial" w:hAnsi="Arial" w:cs="Arial"/>
                <w:b/>
                <w:i w:val="0"/>
                <w:strike w:val="0"/>
                <w:color w:val="000000"/>
                <w:sz w:val="13"/>
                <w:u w:val="none"/>
                <w:vertAlign w:val="baseline"/>
              </w:rPr>
              <w:t>4,778</w:t>
            </w:r>
            <w:bookmarkStart w:id="40" w:name="XBRL_CE_c4199389c7e2413d995ae462624ad815"/>
            <w:bookmarkEnd w:id="39"/>
            <w:bookmarkEnd w:id="40"/>
          </w:p>
        </w:tc>
        <w:tc>
          <w:tcPr>
            <w:tcW w:w="120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1" w:name="XBRL_CS_863833b2775041259573c2a99fbfab36"/>
            <w:bookmarkEnd w:id="41"/>
            <w:bookmarkStart w:id="42" w:name="863833b2775041259573c2a99fbfab36"/>
            <w:r>
              <w:rPr>
                <w:rFonts w:ascii="Arial" w:eastAsia="Arial" w:hAnsi="Arial" w:cs="Arial"/>
                <w:b w:val="0"/>
                <w:i w:val="0"/>
                <w:strike w:val="0"/>
                <w:color w:val="000000"/>
                <w:sz w:val="13"/>
                <w:u w:val="none"/>
                <w:vertAlign w:val="baseline"/>
              </w:rPr>
              <w:t>4,604</w:t>
            </w:r>
            <w:bookmarkStart w:id="43" w:name="XBRL_CE_863833b2775041259573c2a99fbfab36"/>
            <w:bookmarkEnd w:id="42"/>
            <w:bookmarkEnd w:id="43"/>
          </w:p>
        </w:tc>
        <w:tc>
          <w:tcPr>
            <w:tcW w:w="108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2.1., 2.2.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 in inventories of finished goods &amp; work in progress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4" w:name="XBRL_CS_09f6a044ef4142a3804c4b4907342d9e"/>
            <w:bookmarkEnd w:id="44"/>
            <w:bookmarkStart w:id="45" w:name="09f6a044ef4142a3804c4b4907342d9e"/>
            <w:r>
              <w:rPr>
                <w:rFonts w:ascii="Arial" w:eastAsia="Arial" w:hAnsi="Arial" w:cs="Arial"/>
                <w:b/>
                <w:i w:val="0"/>
                <w:strike w:val="0"/>
                <w:color w:val="000000"/>
                <w:sz w:val="13"/>
                <w:u w:val="none"/>
                <w:vertAlign w:val="baseline"/>
              </w:rPr>
              <w:t>4</w:t>
            </w:r>
            <w:bookmarkStart w:id="46" w:name="XBRL_CE_09f6a044ef4142a3804c4b4907342d9e"/>
            <w:bookmarkEnd w:id="45"/>
            <w:bookmarkEnd w:id="46"/>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7" w:name="XBRL_CS_e9777631f966437ba9a0def3e1908066"/>
            <w:bookmarkEnd w:id="47"/>
            <w:bookmarkStart w:id="48" w:name="e9777631f966437ba9a0def3e1908066"/>
            <w:r>
              <w:rPr>
                <w:rFonts w:ascii="Arial" w:eastAsia="Arial" w:hAnsi="Arial" w:cs="Arial"/>
                <w:b w:val="0"/>
                <w:i w:val="0"/>
                <w:strike w:val="0"/>
                <w:color w:val="000000"/>
                <w:sz w:val="13"/>
                <w:u w:val="none"/>
                <w:vertAlign w:val="baseline"/>
              </w:rPr>
              <w:t>-104</w:t>
            </w:r>
            <w:bookmarkStart w:id="49" w:name="XBRL_CE_e9777631f966437ba9a0def3e1908066"/>
            <w:bookmarkEnd w:id="48"/>
            <w:bookmarkEnd w:id="49"/>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Work performed by the Group and capitalised</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0" w:name="XBRL_CS_cc113566dca644ff9f4e1069a2cc558f"/>
            <w:bookmarkEnd w:id="50"/>
            <w:bookmarkStart w:id="51" w:name="cc113566dca644ff9f4e1069a2cc558f"/>
            <w:r>
              <w:rPr>
                <w:rFonts w:ascii="Arial" w:eastAsia="Arial" w:hAnsi="Arial" w:cs="Arial"/>
                <w:b/>
                <w:i w:val="0"/>
                <w:strike w:val="0"/>
                <w:color w:val="000000"/>
                <w:sz w:val="13"/>
                <w:u w:val="none"/>
                <w:vertAlign w:val="baseline"/>
              </w:rPr>
              <w:t>18</w:t>
            </w:r>
            <w:bookmarkStart w:id="52" w:name="XBRL_CE_cc113566dca644ff9f4e1069a2cc558f"/>
            <w:bookmarkEnd w:id="51"/>
            <w:bookmarkEnd w:id="52"/>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3" w:name="XBRL_CS_85f8194a3edb410b8a894df0ac03d1d7"/>
            <w:bookmarkEnd w:id="53"/>
            <w:bookmarkStart w:id="54" w:name="85f8194a3edb410b8a894df0ac03d1d7"/>
            <w:r>
              <w:rPr>
                <w:rFonts w:ascii="Arial" w:eastAsia="Arial" w:hAnsi="Arial" w:cs="Arial"/>
                <w:b w:val="0"/>
                <w:i w:val="0"/>
                <w:strike w:val="0"/>
                <w:color w:val="000000"/>
                <w:sz w:val="13"/>
                <w:u w:val="none"/>
                <w:vertAlign w:val="baseline"/>
              </w:rPr>
              <w:t>19</w:t>
            </w:r>
            <w:bookmarkStart w:id="55" w:name="XBRL_CE_85f8194a3edb410b8a894df0ac03d1d7"/>
            <w:bookmarkEnd w:id="54"/>
            <w:bookmarkEnd w:id="55"/>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operating income</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6" w:name="XBRL_CS_b878c913da8342a985128f6ab8f42a69"/>
            <w:bookmarkEnd w:id="56"/>
            <w:bookmarkStart w:id="57" w:name="b878c913da8342a985128f6ab8f42a69"/>
            <w:r>
              <w:rPr>
                <w:rFonts w:ascii="Arial" w:eastAsia="Arial" w:hAnsi="Arial" w:cs="Arial"/>
                <w:b/>
                <w:i w:val="0"/>
                <w:strike w:val="0"/>
                <w:color w:val="000000"/>
                <w:sz w:val="13"/>
                <w:u w:val="none"/>
                <w:vertAlign w:val="baseline"/>
              </w:rPr>
              <w:t>85</w:t>
            </w:r>
            <w:bookmarkStart w:id="58" w:name="XBRL_CE_b878c913da8342a985128f6ab8f42a69"/>
            <w:bookmarkEnd w:id="57"/>
            <w:bookmarkEnd w:id="58"/>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9" w:name="XBRL_CS_49d382677b2f43cebd315eeb1ece7b0f"/>
            <w:bookmarkEnd w:id="59"/>
            <w:bookmarkStart w:id="60" w:name="49d382677b2f43cebd315eeb1ece7b0f"/>
            <w:r>
              <w:rPr>
                <w:rFonts w:ascii="Arial" w:eastAsia="Arial" w:hAnsi="Arial" w:cs="Arial"/>
                <w:b w:val="0"/>
                <w:i w:val="0"/>
                <w:strike w:val="0"/>
                <w:color w:val="000000"/>
                <w:sz w:val="13"/>
                <w:u w:val="none"/>
                <w:vertAlign w:val="baseline"/>
              </w:rPr>
              <w:t>61</w:t>
            </w:r>
            <w:bookmarkStart w:id="61" w:name="XBRL_CE_49d382677b2f43cebd315eeb1ece7b0f"/>
            <w:bookmarkEnd w:id="60"/>
            <w:bookmarkEnd w:id="61"/>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2.3.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Material and services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2" w:name="XBRL_CS_d5aa5ae328f8463fb8d8c809a0eedc80"/>
            <w:bookmarkEnd w:id="62"/>
            <w:bookmarkStart w:id="63" w:name="d5aa5ae328f8463fb8d8c809a0eedc80"/>
            <w:r>
              <w:rPr>
                <w:rFonts w:ascii="Arial" w:eastAsia="Arial" w:hAnsi="Arial" w:cs="Arial"/>
                <w:b/>
                <w:i w:val="0"/>
                <w:strike w:val="0"/>
                <w:color w:val="000000"/>
                <w:sz w:val="13"/>
                <w:u w:val="none"/>
                <w:vertAlign w:val="baseline"/>
              </w:rPr>
              <w:t>-2,714</w:t>
            </w:r>
            <w:bookmarkStart w:id="64" w:name="XBRL_CE_d5aa5ae328f8463fb8d8c809a0eedc80"/>
            <w:bookmarkEnd w:id="63"/>
            <w:bookmarkEnd w:id="64"/>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5" w:name="XBRL_CS_8ade51509f08440db5fbf432a641e72c"/>
            <w:bookmarkEnd w:id="65"/>
            <w:bookmarkStart w:id="66" w:name="8ade51509f08440db5fbf432a641e72c"/>
            <w:r>
              <w:rPr>
                <w:rFonts w:ascii="Arial" w:eastAsia="Arial" w:hAnsi="Arial" w:cs="Arial"/>
                <w:b w:val="0"/>
                <w:i w:val="0"/>
                <w:strike w:val="0"/>
                <w:color w:val="000000"/>
                <w:sz w:val="13"/>
                <w:u w:val="none"/>
                <w:vertAlign w:val="baseline"/>
              </w:rPr>
              <w:t>-2,551</w:t>
            </w:r>
            <w:bookmarkStart w:id="67" w:name="XBRL_CE_8ade51509f08440db5fbf432a641e72c"/>
            <w:bookmarkEnd w:id="66"/>
            <w:bookmarkEnd w:id="67"/>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2.4.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Employee benefit expenses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8" w:name="XBRL_CS_d728b76871164e67b9f00e3dde88a9fd"/>
            <w:bookmarkEnd w:id="68"/>
            <w:bookmarkStart w:id="69" w:name="d728b76871164e67b9f00e3dde88a9fd"/>
            <w:r>
              <w:rPr>
                <w:rFonts w:ascii="Arial" w:eastAsia="Arial" w:hAnsi="Arial" w:cs="Arial"/>
                <w:b/>
                <w:i w:val="0"/>
                <w:strike w:val="0"/>
                <w:color w:val="000000"/>
                <w:sz w:val="13"/>
                <w:u w:val="none"/>
                <w:vertAlign w:val="baseline"/>
              </w:rPr>
              <w:t>-1,230</w:t>
            </w:r>
            <w:bookmarkStart w:id="70" w:name="XBRL_CE_d728b76871164e67b9f00e3dde88a9fd"/>
            <w:bookmarkEnd w:id="69"/>
            <w:bookmarkEnd w:id="70"/>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1" w:name="XBRL_CS_47c6b1ff7126441ab9d9ca442e9e87b7"/>
            <w:bookmarkEnd w:id="71"/>
            <w:bookmarkStart w:id="72" w:name="47c6b1ff7126441ab9d9ca442e9e87b7"/>
            <w:r>
              <w:rPr>
                <w:rFonts w:ascii="Arial" w:eastAsia="Arial" w:hAnsi="Arial" w:cs="Arial"/>
                <w:b w:val="0"/>
                <w:i w:val="0"/>
                <w:strike w:val="0"/>
                <w:color w:val="000000"/>
                <w:sz w:val="13"/>
                <w:u w:val="none"/>
                <w:vertAlign w:val="baseline"/>
              </w:rPr>
              <w:t>-1,192</w:t>
            </w:r>
            <w:bookmarkStart w:id="73" w:name="XBRL_CE_47c6b1ff7126441ab9d9ca442e9e87b7"/>
            <w:bookmarkEnd w:id="72"/>
            <w:bookmarkEnd w:id="73"/>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2.5.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Result from net position hedges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4" w:name="XBRL_CS_23116d4593d64553ad6d202f18adcc85"/>
            <w:bookmarkEnd w:id="74"/>
            <w:bookmarkStart w:id="75" w:name="23116d4593d64553ad6d202f18adcc85"/>
            <w:r>
              <w:rPr>
                <w:rFonts w:ascii="Arial" w:eastAsia="Arial" w:hAnsi="Arial" w:cs="Arial"/>
                <w:b/>
                <w:i w:val="0"/>
                <w:strike w:val="0"/>
                <w:color w:val="000000"/>
                <w:sz w:val="13"/>
                <w:u w:val="none"/>
                <w:vertAlign w:val="baseline"/>
              </w:rPr>
              <w:t>-2</w:t>
            </w:r>
            <w:bookmarkStart w:id="76" w:name="XBRL_CE_23116d4593d64553ad6d202f18adcc85"/>
            <w:bookmarkEnd w:id="75"/>
            <w:bookmarkEnd w:id="76"/>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7" w:name="XBRL_CS_7ece429ffdba482ea034e58b58275c85"/>
            <w:bookmarkEnd w:id="77"/>
            <w:bookmarkStart w:id="78" w:name="7ece429ffdba482ea034e58b58275c85"/>
            <w:r>
              <w:rPr>
                <w:rFonts w:ascii="Arial" w:eastAsia="Arial" w:hAnsi="Arial" w:cs="Arial"/>
                <w:b w:val="0"/>
                <w:i w:val="0"/>
                <w:strike w:val="0"/>
                <w:color w:val="000000"/>
                <w:sz w:val="13"/>
                <w:u w:val="none"/>
                <w:vertAlign w:val="baseline"/>
              </w:rPr>
              <w:t>-1</w:t>
            </w:r>
            <w:bookmarkStart w:id="79" w:name="XBRL_CE_7ece429ffdba482ea034e58b58275c85"/>
            <w:bookmarkEnd w:id="78"/>
            <w:bookmarkEnd w:id="79"/>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Depreciation, amortisation and impairment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0" w:name="XBRL_CS_33cd3af9cb724d3f8752b6b39e8cdac1"/>
            <w:bookmarkEnd w:id="80"/>
            <w:bookmarkStart w:id="81" w:name="33cd3af9cb724d3f8752b6b39e8cdac1"/>
            <w:r>
              <w:rPr>
                <w:rFonts w:ascii="Arial" w:eastAsia="Arial" w:hAnsi="Arial" w:cs="Arial"/>
                <w:b/>
                <w:i w:val="0"/>
                <w:strike w:val="0"/>
                <w:color w:val="000000"/>
                <w:sz w:val="13"/>
                <w:u w:val="none"/>
                <w:vertAlign w:val="baseline"/>
              </w:rPr>
              <w:t>-162</w:t>
            </w:r>
            <w:bookmarkStart w:id="82" w:name="XBRL_CE_33cd3af9cb724d3f8752b6b39e8cdac1"/>
            <w:bookmarkEnd w:id="81"/>
            <w:bookmarkEnd w:id="82"/>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83" w:name="XBRL_CS_cdb0c4a6f63c4ce78fc97664606ca38b"/>
            <w:bookmarkEnd w:id="83"/>
            <w:bookmarkStart w:id="84" w:name="cdb0c4a6f63c4ce78fc97664606ca38b"/>
            <w:r>
              <w:rPr>
                <w:rFonts w:ascii="Arial" w:eastAsia="Arial" w:hAnsi="Arial" w:cs="Arial"/>
                <w:b w:val="0"/>
                <w:i w:val="0"/>
                <w:strike w:val="0"/>
                <w:color w:val="000000"/>
                <w:sz w:val="13"/>
                <w:u w:val="none"/>
                <w:vertAlign w:val="baseline"/>
              </w:rPr>
              <w:t>-174</w:t>
            </w:r>
            <w:bookmarkStart w:id="85" w:name="XBRL_CE_cdb0c4a6f63c4ce78fc97664606ca38b"/>
            <w:bookmarkEnd w:id="84"/>
            <w:bookmarkEnd w:id="85"/>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nil"/>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operating expenses</w:t>
            </w:r>
          </w:p>
        </w:tc>
        <w:tc>
          <w:tcPr>
            <w:tcW w:w="120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6" w:name="XBRL_CS_2b2af4caf0f9446c8f4f5efe332b479e"/>
            <w:bookmarkEnd w:id="86"/>
            <w:bookmarkStart w:id="87" w:name="2b2af4caf0f9446c8f4f5efe332b479e"/>
            <w:r>
              <w:rPr>
                <w:rFonts w:ascii="Arial" w:eastAsia="Arial" w:hAnsi="Arial" w:cs="Arial"/>
                <w:b/>
                <w:i w:val="0"/>
                <w:strike w:val="0"/>
                <w:color w:val="000000"/>
                <w:sz w:val="13"/>
                <w:u w:val="none"/>
                <w:vertAlign w:val="baseline"/>
              </w:rPr>
              <w:t>-467</w:t>
            </w:r>
            <w:bookmarkStart w:id="88" w:name="XBRL_CE_2b2af4caf0f9446c8f4f5efe332b479e"/>
            <w:bookmarkEnd w:id="87"/>
            <w:bookmarkEnd w:id="88"/>
          </w:p>
        </w:tc>
        <w:tc>
          <w:tcPr>
            <w:tcW w:w="1200" w:type="dxa"/>
            <w:tcBorders>
              <w:top w:val="nil"/>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89" w:name="XBRL_CS_cf793b614c7e41c1a1c03534a4e119e8"/>
            <w:bookmarkEnd w:id="89"/>
            <w:bookmarkStart w:id="90" w:name="cf793b614c7e41c1a1c03534a4e119e8"/>
            <w:r>
              <w:rPr>
                <w:rFonts w:ascii="Arial" w:eastAsia="Arial" w:hAnsi="Arial" w:cs="Arial"/>
                <w:b w:val="0"/>
                <w:i w:val="0"/>
                <w:strike w:val="0"/>
                <w:color w:val="000000"/>
                <w:sz w:val="13"/>
                <w:u w:val="none"/>
                <w:vertAlign w:val="baseline"/>
              </w:rPr>
              <w:t>-431</w:t>
            </w:r>
            <w:bookmarkStart w:id="91" w:name="XBRL_CE_cf793b614c7e41c1a1c03534a4e119e8"/>
            <w:bookmarkEnd w:id="90"/>
            <w:bookmarkEnd w:id="91"/>
          </w:p>
        </w:tc>
        <w:tc>
          <w:tcPr>
            <w:tcW w:w="1080" w:type="dxa"/>
            <w:tcBorders>
              <w:top w:val="nil"/>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2.3.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Share of result of associates and joint ventures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2" w:name="XBRL_CS_c63a93ba36b74759b23269025b3ce449"/>
            <w:bookmarkEnd w:id="92"/>
            <w:bookmarkStart w:id="93" w:name="c63a93ba36b74759b23269025b3ce449"/>
            <w:r>
              <w:rPr>
                <w:rFonts w:ascii="Arial" w:eastAsia="Arial" w:hAnsi="Arial" w:cs="Arial"/>
                <w:b/>
                <w:i w:val="0"/>
                <w:strike w:val="0"/>
                <w:color w:val="000000"/>
                <w:sz w:val="13"/>
                <w:u w:val="none"/>
                <w:vertAlign w:val="baseline"/>
              </w:rPr>
              <w:t>3</w:t>
            </w:r>
            <w:bookmarkStart w:id="94" w:name="XBRL_CE_c63a93ba36b74759b23269025b3ce449"/>
            <w:bookmarkEnd w:id="93"/>
            <w:bookmarkEnd w:id="94"/>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95" w:name="XBRL_CS_94f82194195c437fa44993d47c824930"/>
            <w:bookmarkEnd w:id="95"/>
            <w:bookmarkStart w:id="96" w:name="94f82194195c437fa44993d47c824930"/>
            <w:r>
              <w:rPr>
                <w:rFonts w:ascii="Arial" w:eastAsia="Arial" w:hAnsi="Arial" w:cs="Arial"/>
                <w:b w:val="0"/>
                <w:i w:val="0"/>
                <w:strike w:val="0"/>
                <w:color w:val="000000"/>
                <w:sz w:val="13"/>
                <w:u w:val="none"/>
                <w:vertAlign w:val="baseline"/>
              </w:rPr>
              <w:t>3</w:t>
            </w:r>
            <w:bookmarkStart w:id="97" w:name="XBRL_CE_94f82194195c437fa44993d47c824930"/>
            <w:bookmarkEnd w:id="96"/>
            <w:bookmarkEnd w:id="97"/>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6.4.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Operating result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8" w:name="XBRL_CS_1f15dc89e2174488b1602b935e1e9fc0"/>
            <w:bookmarkEnd w:id="98"/>
            <w:bookmarkStart w:id="99" w:name="1f15dc89e2174488b1602b935e1e9fc0"/>
            <w:r>
              <w:rPr>
                <w:rFonts w:ascii="Arial" w:eastAsia="Arial" w:hAnsi="Arial" w:cs="Arial"/>
                <w:b/>
                <w:i w:val="0"/>
                <w:strike w:val="0"/>
                <w:color w:val="000000"/>
                <w:sz w:val="13"/>
                <w:u w:val="none"/>
                <w:vertAlign w:val="baseline"/>
              </w:rPr>
              <w:t>314</w:t>
            </w:r>
            <w:bookmarkStart w:id="100" w:name="XBRL_CE_1f15dc89e2174488b1602b935e1e9fc0"/>
            <w:bookmarkEnd w:id="99"/>
            <w:bookmarkEnd w:id="100"/>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01" w:name="XBRL_CS_89cbb313e8b246d8902484c68c2460fb"/>
            <w:bookmarkEnd w:id="101"/>
            <w:bookmarkStart w:id="102" w:name="89cbb313e8b246d8902484c68c2460fb"/>
            <w:r>
              <w:rPr>
                <w:rFonts w:ascii="Arial" w:eastAsia="Arial" w:hAnsi="Arial" w:cs="Arial"/>
                <w:b w:val="0"/>
                <w:i w:val="0"/>
                <w:strike w:val="0"/>
                <w:color w:val="000000"/>
                <w:sz w:val="13"/>
                <w:u w:val="none"/>
                <w:vertAlign w:val="baseline"/>
              </w:rPr>
              <w:t>234</w:t>
            </w:r>
            <w:bookmarkStart w:id="103" w:name="XBRL_CE_89cbb313e8b246d8902484c68c2460fb"/>
            <w:bookmarkEnd w:id="102"/>
            <w:bookmarkEnd w:id="103"/>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 a percentage of net sales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4" w:name="XBRL_CS_c336c4f02fa94eb4ae4c0c7c825d0c72"/>
            <w:bookmarkEnd w:id="104"/>
            <w:bookmarkStart w:id="105" w:name="c336c4f02fa94eb4ae4c0c7c825d0c72"/>
            <w:r>
              <w:rPr>
                <w:rFonts w:ascii="Arial" w:eastAsia="Arial" w:hAnsi="Arial" w:cs="Arial"/>
                <w:b/>
                <w:i w:val="0"/>
                <w:strike w:val="0"/>
                <w:color w:val="000000"/>
                <w:sz w:val="13"/>
                <w:u w:val="none"/>
                <w:vertAlign w:val="baseline"/>
              </w:rPr>
              <w:t>6.6</w:t>
            </w:r>
            <w:bookmarkStart w:id="106" w:name="XBRL_CE_c336c4f02fa94eb4ae4c0c7c825d0c72"/>
            <w:bookmarkEnd w:id="105"/>
            <w:bookmarkEnd w:id="106"/>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07" w:name="XBRL_CS_3a976e30d0ad4a608642eded5a25e6c8"/>
            <w:bookmarkEnd w:id="107"/>
            <w:bookmarkStart w:id="108" w:name="3a976e30d0ad4a608642eded5a25e6c8"/>
            <w:r>
              <w:rPr>
                <w:rFonts w:ascii="Arial" w:eastAsia="Arial" w:hAnsi="Arial" w:cs="Arial"/>
                <w:b w:val="0"/>
                <w:i w:val="0"/>
                <w:strike w:val="0"/>
                <w:color w:val="000000"/>
                <w:sz w:val="13"/>
                <w:u w:val="none"/>
                <w:vertAlign w:val="baseline"/>
              </w:rPr>
              <w:t>5.1</w:t>
            </w:r>
            <w:bookmarkStart w:id="109" w:name="XBRL_CE_3a976e30d0ad4a608642eded5a25e6c8"/>
            <w:bookmarkEnd w:id="108"/>
            <w:bookmarkEnd w:id="109"/>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Financial income</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10" w:name="XBRL_CS_da92fec1a2ae43c3a984355a210774fe"/>
            <w:bookmarkEnd w:id="110"/>
            <w:bookmarkStart w:id="111" w:name="da92fec1a2ae43c3a984355a210774fe"/>
            <w:r>
              <w:rPr>
                <w:rFonts w:ascii="Arial" w:eastAsia="Arial" w:hAnsi="Arial" w:cs="Arial"/>
                <w:b/>
                <w:i w:val="0"/>
                <w:strike w:val="0"/>
                <w:color w:val="000000"/>
                <w:sz w:val="13"/>
                <w:u w:val="none"/>
                <w:vertAlign w:val="baseline"/>
              </w:rPr>
              <w:t>15</w:t>
            </w:r>
            <w:bookmarkStart w:id="112" w:name="XBRL_CE_da92fec1a2ae43c3a984355a210774fe"/>
            <w:bookmarkEnd w:id="111"/>
            <w:bookmarkEnd w:id="112"/>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3" w:name="XBRL_CS_a7a20b4683d54712a009531a2720673d"/>
            <w:bookmarkEnd w:id="113"/>
            <w:bookmarkStart w:id="114" w:name="a7a20b4683d54712a009531a2720673d"/>
            <w:r>
              <w:rPr>
                <w:rFonts w:ascii="Arial" w:eastAsia="Arial" w:hAnsi="Arial" w:cs="Arial"/>
                <w:b w:val="0"/>
                <w:i w:val="0"/>
                <w:strike w:val="0"/>
                <w:color w:val="000000"/>
                <w:sz w:val="13"/>
                <w:u w:val="none"/>
                <w:vertAlign w:val="baseline"/>
              </w:rPr>
              <w:t>16</w:t>
            </w:r>
            <w:bookmarkStart w:id="115" w:name="XBRL_CE_a7a20b4683d54712a009531a2720673d"/>
            <w:bookmarkEnd w:id="114"/>
            <w:bookmarkEnd w:id="115"/>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Financial expenses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16" w:name="XBRL_CS_c6c64b1bc26e4a97a540e19431c9fa4c"/>
            <w:bookmarkEnd w:id="116"/>
            <w:bookmarkStart w:id="117" w:name="c6c64b1bc26e4a97a540e19431c9fa4c"/>
            <w:r>
              <w:rPr>
                <w:rFonts w:ascii="Arial" w:eastAsia="Arial" w:hAnsi="Arial" w:cs="Arial"/>
                <w:b/>
                <w:i w:val="0"/>
                <w:strike w:val="0"/>
                <w:color w:val="000000"/>
                <w:sz w:val="13"/>
                <w:u w:val="none"/>
                <w:vertAlign w:val="baseline"/>
              </w:rPr>
              <w:t>-33</w:t>
            </w:r>
            <w:bookmarkStart w:id="118" w:name="XBRL_CE_c6c64b1bc26e4a97a540e19431c9fa4c"/>
            <w:bookmarkEnd w:id="117"/>
            <w:bookmarkEnd w:id="118"/>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9" w:name="XBRL_CS_f4940da6aa984e73a7b06328d5318c20"/>
            <w:bookmarkEnd w:id="119"/>
            <w:bookmarkStart w:id="120" w:name="f4940da6aa984e73a7b06328d5318c20"/>
            <w:r>
              <w:rPr>
                <w:rFonts w:ascii="Arial" w:eastAsia="Arial" w:hAnsi="Arial" w:cs="Arial"/>
                <w:b w:val="0"/>
                <w:i w:val="0"/>
                <w:strike w:val="0"/>
                <w:color w:val="000000"/>
                <w:sz w:val="13"/>
                <w:u w:val="none"/>
                <w:vertAlign w:val="baseline"/>
              </w:rPr>
              <w:t>-59</w:t>
            </w:r>
            <w:bookmarkStart w:id="121" w:name="XBRL_CE_f4940da6aa984e73a7b06328d5318c20"/>
            <w:bookmarkEnd w:id="120"/>
            <w:bookmarkEnd w:id="121"/>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Profit before taxes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22" w:name="XBRL_CS_96a13edc12024ac49f0ac68671de5d65"/>
            <w:bookmarkEnd w:id="122"/>
            <w:bookmarkStart w:id="123" w:name="96a13edc12024ac49f0ac68671de5d65"/>
            <w:r>
              <w:rPr>
                <w:rFonts w:ascii="Arial" w:eastAsia="Arial" w:hAnsi="Arial" w:cs="Arial"/>
                <w:b/>
                <w:i w:val="0"/>
                <w:strike w:val="0"/>
                <w:color w:val="000000"/>
                <w:sz w:val="13"/>
                <w:u w:val="none"/>
                <w:vertAlign w:val="baseline"/>
              </w:rPr>
              <w:t>296</w:t>
            </w:r>
            <w:bookmarkStart w:id="124" w:name="XBRL_CE_96a13edc12024ac49f0ac68671de5d65"/>
            <w:bookmarkEnd w:id="123"/>
            <w:bookmarkEnd w:id="124"/>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5" w:name="XBRL_CS_9238f75578204fa3a2f83ba8e1c87f15"/>
            <w:bookmarkEnd w:id="125"/>
            <w:bookmarkStart w:id="126" w:name="9238f75578204fa3a2f83ba8e1c87f15"/>
            <w:r>
              <w:rPr>
                <w:rFonts w:ascii="Arial" w:eastAsia="Arial" w:hAnsi="Arial" w:cs="Arial"/>
                <w:b w:val="0"/>
                <w:i w:val="0"/>
                <w:strike w:val="0"/>
                <w:color w:val="000000"/>
                <w:sz w:val="13"/>
                <w:u w:val="none"/>
                <w:vertAlign w:val="baseline"/>
              </w:rPr>
              <w:t>191</w:t>
            </w:r>
            <w:bookmarkStart w:id="127" w:name="XBRL_CE_9238f75578204fa3a2f83ba8e1c87f15"/>
            <w:bookmarkEnd w:id="126"/>
            <w:bookmarkEnd w:id="127"/>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center"/>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Income taxes</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28" w:name="XBRL_CS_a82eadc9a7714316a3170a4c56bb22df"/>
            <w:bookmarkEnd w:id="128"/>
            <w:bookmarkStart w:id="129" w:name="a82eadc9a7714316a3170a4c56bb22df"/>
            <w:r>
              <w:rPr>
                <w:rFonts w:ascii="Arial" w:eastAsia="Arial" w:hAnsi="Arial" w:cs="Arial"/>
                <w:b/>
                <w:i w:val="0"/>
                <w:strike w:val="0"/>
                <w:color w:val="000000"/>
                <w:sz w:val="13"/>
                <w:u w:val="none"/>
                <w:vertAlign w:val="baseline"/>
              </w:rPr>
              <w:t>-103</w:t>
            </w:r>
            <w:bookmarkStart w:id="130" w:name="XBRL_CE_a82eadc9a7714316a3170a4c56bb22df"/>
            <w:bookmarkEnd w:id="129"/>
            <w:bookmarkEnd w:id="130"/>
          </w:p>
        </w:tc>
        <w:tc>
          <w:tcPr>
            <w:tcW w:w="120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1" w:name="XBRL_CS_a5c33a12be4d458c8b225138f258504d"/>
            <w:bookmarkEnd w:id="131"/>
            <w:bookmarkStart w:id="132" w:name="a5c33a12be4d458c8b225138f258504d"/>
            <w:r>
              <w:rPr>
                <w:rFonts w:ascii="Arial" w:eastAsia="Arial" w:hAnsi="Arial" w:cs="Arial"/>
                <w:b w:val="0"/>
                <w:i w:val="0"/>
                <w:strike w:val="0"/>
                <w:color w:val="000000"/>
                <w:sz w:val="13"/>
                <w:u w:val="none"/>
                <w:vertAlign w:val="baseline"/>
              </w:rPr>
              <w:t>-58</w:t>
            </w:r>
            <w:bookmarkStart w:id="133" w:name="XBRL_CE_a5c33a12be4d458c8b225138f258504d"/>
            <w:bookmarkEnd w:id="132"/>
            <w:bookmarkEnd w:id="133"/>
          </w:p>
        </w:tc>
        <w:tc>
          <w:tcPr>
            <w:tcW w:w="108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2.6.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Profit for the financial period</w:t>
            </w:r>
          </w:p>
        </w:tc>
        <w:tc>
          <w:tcPr>
            <w:tcW w:w="120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34" w:name="XBRL_CS_9d57b394652d4fcba2c95c077aaa649c"/>
            <w:bookmarkEnd w:id="134"/>
            <w:bookmarkStart w:id="135" w:name="9d57b394652d4fcba2c95c077aaa649c"/>
            <w:r>
              <w:rPr>
                <w:rFonts w:ascii="Arial" w:eastAsia="Arial" w:hAnsi="Arial" w:cs="Arial"/>
                <w:b/>
                <w:i w:val="0"/>
                <w:strike w:val="0"/>
                <w:color w:val="000000"/>
                <w:sz w:val="13"/>
                <w:u w:val="none"/>
                <w:vertAlign w:val="baseline"/>
              </w:rPr>
              <w:t>193</w:t>
            </w:r>
            <w:bookmarkStart w:id="136" w:name="XBRL_CE_9d57b394652d4fcba2c95c077aaa649c"/>
            <w:bookmarkEnd w:id="135"/>
            <w:bookmarkEnd w:id="136"/>
          </w:p>
        </w:tc>
        <w:tc>
          <w:tcPr>
            <w:tcW w:w="120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7" w:name="XBRL_CS_0fd6060633d145c793892c8eb0d1e8d8"/>
            <w:bookmarkEnd w:id="137"/>
            <w:bookmarkStart w:id="138" w:name="0fd6060633d145c793892c8eb0d1e8d8"/>
            <w:r>
              <w:rPr>
                <w:rFonts w:ascii="Arial" w:eastAsia="Arial" w:hAnsi="Arial" w:cs="Arial"/>
                <w:b w:val="0"/>
                <w:i w:val="0"/>
                <w:strike w:val="0"/>
                <w:color w:val="000000"/>
                <w:sz w:val="13"/>
                <w:u w:val="none"/>
                <w:vertAlign w:val="baseline"/>
              </w:rPr>
              <w:t>133</w:t>
            </w:r>
            <w:bookmarkStart w:id="139" w:name="XBRL_CE_0fd6060633d145c793892c8eb0d1e8d8"/>
            <w:bookmarkEnd w:id="138"/>
            <w:bookmarkEnd w:id="139"/>
          </w:p>
        </w:tc>
        <w:tc>
          <w:tcPr>
            <w:tcW w:w="1080" w:type="dxa"/>
            <w:tcBorders>
              <w:top w:val="single" w:sz="8" w:space="0" w:color="0F172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Attributable to:</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equity holders of the parent company</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40" w:name="XBRL_CS_cc5b9aab9cb941629c0e8a5a720a3262"/>
            <w:bookmarkEnd w:id="140"/>
            <w:bookmarkStart w:id="141" w:name="cc5b9aab9cb941629c0e8a5a720a3262"/>
            <w:r>
              <w:rPr>
                <w:rFonts w:ascii="Arial" w:eastAsia="Arial" w:hAnsi="Arial" w:cs="Arial"/>
                <w:b/>
                <w:i w:val="0"/>
                <w:strike w:val="0"/>
                <w:color w:val="000000"/>
                <w:sz w:val="13"/>
                <w:u w:val="none"/>
                <w:vertAlign w:val="baseline"/>
              </w:rPr>
              <w:t>194</w:t>
            </w:r>
            <w:bookmarkStart w:id="142" w:name="XBRL_CE_cc5b9aab9cb941629c0e8a5a720a3262"/>
            <w:bookmarkEnd w:id="141"/>
            <w:bookmarkEnd w:id="142"/>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43" w:name="XBRL_CS_eb50c303419546738d6a944b08225b9a"/>
            <w:bookmarkEnd w:id="143"/>
            <w:bookmarkStart w:id="144" w:name="eb50c303419546738d6a944b08225b9a"/>
            <w:r>
              <w:rPr>
                <w:rFonts w:ascii="Arial" w:eastAsia="Arial" w:hAnsi="Arial" w:cs="Arial"/>
                <w:b w:val="0"/>
                <w:i w:val="0"/>
                <w:strike w:val="0"/>
                <w:color w:val="000000"/>
                <w:sz w:val="13"/>
                <w:u w:val="none"/>
                <w:vertAlign w:val="baseline"/>
              </w:rPr>
              <w:t>134</w:t>
            </w:r>
            <w:bookmarkStart w:id="145" w:name="XBRL_CE_eb50c303419546738d6a944b08225b9a"/>
            <w:bookmarkEnd w:id="144"/>
            <w:bookmarkEnd w:id="145"/>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2.7.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8" w:space="0" w:color="0F172B"/>
              <w:right w:val="nil"/>
              <w:tl2br w:val="nil"/>
              <w:tr2bl w:val="nil"/>
            </w:tcBorders>
            <w:shd w:val="clear" w:color="FFFFFF" w:fill="FFFFFF"/>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non-controlling interests</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bookmarkStart w:id="146" w:name="XBRL_CS_db3fdb93c8dd4de6a1bc37a7f8f6a70f"/>
            <w:bookmarkEnd w:id="146"/>
            <w:bookmarkStart w:id="147" w:name="db3fdb93c8dd4de6a1bc37a7f8f6a70f"/>
            <w:r>
              <w:rPr>
                <w:rFonts w:ascii="Arial" w:eastAsia="Arial" w:hAnsi="Arial" w:cs="Arial"/>
                <w:b/>
                <w:i w:val="0"/>
                <w:strike w:val="0"/>
                <w:color w:val="E7EBED"/>
                <w:sz w:val="13"/>
                <w:u w:val="none"/>
                <w:vertAlign w:val="baseline"/>
              </w:rPr>
              <w:t>0</w:t>
            </w:r>
            <w:bookmarkStart w:id="148" w:name="XBRL_CE_db3fdb93c8dd4de6a1bc37a7f8f6a70f"/>
            <w:bookmarkEnd w:id="147"/>
            <w:bookmarkEnd w:id="148"/>
          </w:p>
        </w:tc>
        <w:tc>
          <w:tcPr>
            <w:tcW w:w="120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49" w:name="XBRL_CS_37292ea6befa4422924c816db298395f"/>
            <w:bookmarkEnd w:id="149"/>
            <w:bookmarkStart w:id="150" w:name="37292ea6befa4422924c816db298395f"/>
            <w:r>
              <w:rPr>
                <w:rFonts w:ascii="Arial" w:eastAsia="Arial" w:hAnsi="Arial" w:cs="Arial"/>
                <w:b w:val="0"/>
                <w:i w:val="0"/>
                <w:strike w:val="0"/>
                <w:color w:val="000000"/>
                <w:sz w:val="13"/>
                <w:u w:val="none"/>
                <w:vertAlign w:val="baseline"/>
              </w:rPr>
              <w:t>-1</w:t>
            </w:r>
            <w:bookmarkStart w:id="151" w:name="XBRL_CE_37292ea6befa4422924c816db298395f"/>
            <w:bookmarkEnd w:id="150"/>
            <w:bookmarkEnd w:id="151"/>
          </w:p>
        </w:tc>
        <w:tc>
          <w:tcPr>
            <w:tcW w:w="108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52" w:name="XBRL_CS_d7a6a8054d9241c4bd534007bec8505b"/>
            <w:bookmarkEnd w:id="152"/>
            <w:bookmarkStart w:id="153" w:name="d7a6a8054d9241c4bd534007bec8505b"/>
            <w:r>
              <w:rPr>
                <w:rFonts w:ascii="Arial" w:eastAsia="Arial" w:hAnsi="Arial" w:cs="Arial"/>
                <w:b/>
                <w:i w:val="0"/>
                <w:strike w:val="0"/>
                <w:color w:val="000000"/>
                <w:sz w:val="13"/>
                <w:u w:val="none"/>
                <w:vertAlign w:val="baseline"/>
              </w:rPr>
              <w:t>193</w:t>
            </w:r>
            <w:bookmarkStart w:id="154" w:name="XBRL_CE_d7a6a8054d9241c4bd534007bec8505b"/>
            <w:bookmarkEnd w:id="153"/>
            <w:bookmarkEnd w:id="154"/>
          </w:p>
        </w:tc>
        <w:tc>
          <w:tcPr>
            <w:tcW w:w="120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55" w:name="XBRL_CS_04d0742f72b04ab6bed859ccd62b1abf"/>
            <w:bookmarkEnd w:id="155"/>
            <w:bookmarkStart w:id="156" w:name="04d0742f72b04ab6bed859ccd62b1abf"/>
            <w:r>
              <w:rPr>
                <w:rFonts w:ascii="Arial" w:eastAsia="Arial" w:hAnsi="Arial" w:cs="Arial"/>
                <w:b w:val="0"/>
                <w:i w:val="0"/>
                <w:strike w:val="0"/>
                <w:color w:val="000000"/>
                <w:sz w:val="13"/>
                <w:u w:val="none"/>
                <w:vertAlign w:val="baseline"/>
              </w:rPr>
              <w:t>133</w:t>
            </w:r>
            <w:bookmarkStart w:id="157" w:name="XBRL_CE_04d0742f72b04ab6bed859ccd62b1abf"/>
            <w:bookmarkEnd w:id="156"/>
            <w:bookmarkEnd w:id="157"/>
          </w:p>
        </w:tc>
        <w:tc>
          <w:tcPr>
            <w:tcW w:w="108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Earnings per share attributable to equity holders of the parent company:</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Earnings per share (EPS), basic, EUR</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58" w:name="XBRL_CS_bb77e55a1e8442daadac2d05a675c735"/>
            <w:bookmarkEnd w:id="158"/>
            <w:bookmarkStart w:id="159" w:name="bb77e55a1e8442daadac2d05a675c735"/>
            <w:r>
              <w:rPr>
                <w:rFonts w:ascii="Arial" w:eastAsia="Arial" w:hAnsi="Arial" w:cs="Arial"/>
                <w:b/>
                <w:i w:val="0"/>
                <w:strike w:val="0"/>
                <w:color w:val="000000"/>
                <w:sz w:val="13"/>
                <w:u w:val="none"/>
                <w:vertAlign w:val="baseline"/>
              </w:rPr>
              <w:t>0.33</w:t>
            </w:r>
            <w:bookmarkStart w:id="160" w:name="XBRL_CE_bb77e55a1e8442daadac2d05a675c735"/>
            <w:bookmarkEnd w:id="159"/>
            <w:bookmarkEnd w:id="160"/>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61" w:name="XBRL_CS_195fd1ee6fd84a0d9a6cf13f0216ddfc"/>
            <w:bookmarkEnd w:id="161"/>
            <w:bookmarkStart w:id="162" w:name="195fd1ee6fd84a0d9a6cf13f0216ddfc"/>
            <w:r>
              <w:rPr>
                <w:rFonts w:ascii="Arial" w:eastAsia="Arial" w:hAnsi="Arial" w:cs="Arial"/>
                <w:b w:val="0"/>
                <w:i w:val="0"/>
                <w:strike w:val="0"/>
                <w:color w:val="000000"/>
                <w:sz w:val="13"/>
                <w:u w:val="none"/>
                <w:vertAlign w:val="baseline"/>
              </w:rPr>
              <w:t>0.23</w:t>
            </w:r>
            <w:bookmarkStart w:id="163" w:name="XBRL_CE_195fd1ee6fd84a0d9a6cf13f0216ddfc"/>
            <w:bookmarkEnd w:id="162"/>
            <w:bookmarkEnd w:id="163"/>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2.7.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Earnings per share (EPS), diluted, EUR</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64" w:name="XBRL_CS_0998d8b5bcc24410bc7e742b11d7d29b"/>
            <w:bookmarkEnd w:id="164"/>
            <w:bookmarkStart w:id="165" w:name="0998d8b5bcc24410bc7e742b11d7d29b"/>
            <w:r>
              <w:rPr>
                <w:rFonts w:ascii="Arial" w:eastAsia="Arial" w:hAnsi="Arial" w:cs="Arial"/>
                <w:b/>
                <w:i w:val="0"/>
                <w:strike w:val="0"/>
                <w:color w:val="000000"/>
                <w:sz w:val="13"/>
                <w:u w:val="none"/>
                <w:vertAlign w:val="baseline"/>
              </w:rPr>
              <w:t>0.33</w:t>
            </w:r>
            <w:bookmarkStart w:id="166" w:name="XBRL_CE_0998d8b5bcc24410bc7e742b11d7d29b"/>
            <w:bookmarkEnd w:id="165"/>
            <w:bookmarkEnd w:id="166"/>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67" w:name="XBRL_CS_9f8c954cd64b4b538bee4680ac6f379a"/>
            <w:bookmarkEnd w:id="167"/>
            <w:bookmarkStart w:id="168" w:name="9f8c954cd64b4b538bee4680ac6f379a"/>
            <w:r>
              <w:rPr>
                <w:rFonts w:ascii="Arial" w:eastAsia="Arial" w:hAnsi="Arial" w:cs="Arial"/>
                <w:b w:val="0"/>
                <w:i w:val="0"/>
                <w:strike w:val="0"/>
                <w:color w:val="000000"/>
                <w:sz w:val="13"/>
                <w:u w:val="none"/>
                <w:vertAlign w:val="baseline"/>
              </w:rPr>
              <w:t>-</w:t>
            </w:r>
            <w:bookmarkStart w:id="169" w:name="XBRL_CE_9f8c954cd64b4b538bee4680ac6f379a"/>
            <w:bookmarkEnd w:id="168"/>
            <w:bookmarkEnd w:id="169"/>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2.7.</w:t>
            </w:r>
          </w:p>
        </w:tc>
      </w:tr>
    </w:tbl>
    <w:p w:rsidR="005002C1" w:rsidP="008F0E88" w14:paraId="37DF154D" w14:textId="77777777">
      <w:pPr>
        <w:pStyle w:val="Bodytext2"/>
      </w:pPr>
      <w:bookmarkStart w:id="170" w:name="RG_MARKER_7381"/>
      <w:bookmarkEnd w:id="170"/>
    </w:p>
    <w:p w:rsidR="008F0E88" w:rsidRPr="0000003F" w:rsidP="008F0E88" w14:textId="45B47AFD">
      <w:pPr>
        <w:pStyle w:val="Bodytext2"/>
        <w:rPr>
          <w:sz w:val="2"/>
          <w:szCs w:val="2"/>
        </w:rPr>
      </w:pPr>
      <w:r w:rsidRPr="008F0E88">
        <w:t>The notes are an integral part of these consolidated financial statements.</w:t>
      </w:r>
      <w:r>
        <w:br w:type="column"/>
      </w:r>
    </w:p>
    <w:p w:rsidR="00E75286" w:rsidRPr="00CC289E" w:rsidP="008721AC" w14:paraId="3A44544E" w14:textId="241A9965">
      <w:pPr>
        <w:pStyle w:val="Heading105"/>
        <w:spacing w:after="120"/>
        <w:rPr>
          <w:sz w:val="2"/>
          <w:szCs w:val="2"/>
        </w:rPr>
      </w:pPr>
      <w:bookmarkStart w:id="171" w:name="RG_MARKER_7349"/>
      <w:r w:rsidRPr="00E75286">
        <w:t>CONSOLIDATED STATEMENT OF COMPREHENSIVE INCOME</w:t>
      </w:r>
      <w:bookmarkEnd w:id="171"/>
    </w:p>
    <w:p/>
    <w:tbl>
      <w:tblPr>
        <w:tblStyle w:val="CDMRange2"/>
        <w:tblW w:w="7365" w:type="dxa"/>
        <w:tblLayout w:type="fixed"/>
        <w:tblLook w:val="0600"/>
      </w:tblPr>
      <w:tblGrid>
        <w:gridCol w:w="3885"/>
        <w:gridCol w:w="1200"/>
        <w:gridCol w:w="1200"/>
        <w:gridCol w:w="1080"/>
      </w:tblGrid>
      <w:tr>
        <w:tblPrEx>
          <w:tblW w:w="7365" w:type="dxa"/>
          <w:tblLayout w:type="fixed"/>
          <w:tblLook w:val="0600"/>
        </w:tblPrEx>
        <w:trPr>
          <w:trHeight w:hRule="exact" w:val="240"/>
        </w:trPr>
        <w:tc>
          <w:tcPr>
            <w:tcW w:w="388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0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0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Note</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Profit for the financial period</w:t>
            </w: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72" w:name="XBRL_CS_6eed26988d754b3b931c2cf0dff752ff"/>
            <w:bookmarkEnd w:id="172"/>
            <w:bookmarkStart w:id="173" w:name="6eed26988d754b3b931c2cf0dff752ff"/>
            <w:r>
              <w:rPr>
                <w:rFonts w:ascii="Arial" w:eastAsia="Arial" w:hAnsi="Arial" w:cs="Arial"/>
                <w:b/>
                <w:i w:val="0"/>
                <w:strike w:val="0"/>
                <w:color w:val="000000"/>
                <w:sz w:val="13"/>
                <w:u w:val="none"/>
                <w:vertAlign w:val="baseline"/>
              </w:rPr>
              <w:t>193</w:t>
            </w:r>
            <w:bookmarkStart w:id="174" w:name="XBRL_CE_6eed26988d754b3b931c2cf0dff752ff"/>
            <w:bookmarkEnd w:id="173"/>
            <w:bookmarkEnd w:id="174"/>
          </w:p>
        </w:tc>
        <w:tc>
          <w:tcPr>
            <w:tcW w:w="120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75" w:name="XBRL_CS_d80703bc62084664bbb5c68a914fdc5d"/>
            <w:bookmarkEnd w:id="175"/>
            <w:bookmarkStart w:id="176" w:name="d80703bc62084664bbb5c68a914fdc5d"/>
            <w:r>
              <w:rPr>
                <w:rFonts w:ascii="Arial" w:eastAsia="Arial" w:hAnsi="Arial" w:cs="Arial"/>
                <w:b w:val="0"/>
                <w:i w:val="0"/>
                <w:strike w:val="0"/>
                <w:color w:val="000000"/>
                <w:sz w:val="13"/>
                <w:u w:val="none"/>
                <w:vertAlign w:val="baseline"/>
              </w:rPr>
              <w:t>133</w:t>
            </w:r>
            <w:bookmarkStart w:id="177" w:name="XBRL_CE_d80703bc62084664bbb5c68a914fdc5d"/>
            <w:bookmarkEnd w:id="176"/>
            <w:bookmarkEnd w:id="177"/>
          </w:p>
        </w:tc>
        <w:tc>
          <w:tcPr>
            <w:tcW w:w="108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Other comprehensive income, net of taxes:</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Items that will not be reclassified to the statement of income</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Remeasurements of defined benefit liabilities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78" w:name="XBRL_CS_b189f3f138f5463bb0c06df12a8bdc11"/>
            <w:bookmarkEnd w:id="178"/>
            <w:bookmarkStart w:id="179" w:name="b189f3f138f5463bb0c06df12a8bdc11"/>
            <w:r>
              <w:rPr>
                <w:rFonts w:ascii="Arial" w:eastAsia="Arial" w:hAnsi="Arial" w:cs="Arial"/>
                <w:b/>
                <w:i w:val="0"/>
                <w:strike w:val="0"/>
                <w:color w:val="000000"/>
                <w:sz w:val="13"/>
                <w:u w:val="none"/>
                <w:vertAlign w:val="baseline"/>
              </w:rPr>
              <w:t>10</w:t>
            </w:r>
            <w:bookmarkStart w:id="180" w:name="XBRL_CE_b189f3f138f5463bb0c06df12a8bdc11"/>
            <w:bookmarkEnd w:id="179"/>
            <w:bookmarkEnd w:id="180"/>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81" w:name="XBRL_CS_86c16928b1e64d2cb14b4746edd9fd46"/>
            <w:bookmarkEnd w:id="181"/>
            <w:bookmarkStart w:id="182" w:name="86c16928b1e64d2cb14b4746edd9fd46"/>
            <w:r>
              <w:rPr>
                <w:rFonts w:ascii="Arial" w:eastAsia="Arial" w:hAnsi="Arial" w:cs="Arial"/>
                <w:b w:val="0"/>
                <w:i w:val="0"/>
                <w:strike w:val="0"/>
                <w:color w:val="000000"/>
                <w:sz w:val="13"/>
                <w:u w:val="none"/>
                <w:vertAlign w:val="baseline"/>
              </w:rPr>
              <w:t>6</w:t>
            </w:r>
            <w:bookmarkStart w:id="183" w:name="XBRL_CE_86c16928b1e64d2cb14b4746edd9fd46"/>
            <w:bookmarkEnd w:id="182"/>
            <w:bookmarkEnd w:id="183"/>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Tax on items that will not be reclassified to the statement of income</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84" w:name="XBRL_CS_3d48ca9060de44f68a41833ec07091f4"/>
            <w:bookmarkEnd w:id="184"/>
            <w:bookmarkStart w:id="185" w:name="3d48ca9060de44f68a41833ec07091f4"/>
            <w:r>
              <w:rPr>
                <w:rFonts w:ascii="Arial" w:eastAsia="Arial" w:hAnsi="Arial" w:cs="Arial"/>
                <w:b/>
                <w:i w:val="0"/>
                <w:strike w:val="0"/>
                <w:color w:val="000000"/>
                <w:sz w:val="13"/>
                <w:u w:val="none"/>
                <w:vertAlign w:val="baseline"/>
              </w:rPr>
              <w:t>-2</w:t>
            </w:r>
            <w:bookmarkStart w:id="186" w:name="XBRL_CE_3d48ca9060de44f68a41833ec07091f4"/>
            <w:bookmarkEnd w:id="185"/>
            <w:bookmarkEnd w:id="186"/>
          </w:p>
        </w:tc>
        <w:tc>
          <w:tcPr>
            <w:tcW w:w="120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87" w:name="XBRL_CS_9866b29f73424b1b92aeb0fb2b66f723"/>
            <w:bookmarkEnd w:id="187"/>
            <w:bookmarkStart w:id="188" w:name="9866b29f73424b1b92aeb0fb2b66f723"/>
            <w:r>
              <w:rPr>
                <w:rFonts w:ascii="Arial" w:eastAsia="Arial" w:hAnsi="Arial" w:cs="Arial"/>
                <w:b w:val="0"/>
                <w:i w:val="0"/>
                <w:strike w:val="0"/>
                <w:color w:val="000000"/>
                <w:sz w:val="13"/>
                <w:u w:val="none"/>
                <w:vertAlign w:val="baseline"/>
              </w:rPr>
              <w:t>-1</w:t>
            </w:r>
            <w:bookmarkStart w:id="189" w:name="XBRL_CE_9866b29f73424b1b92aeb0fb2b66f723"/>
            <w:bookmarkEnd w:id="188"/>
            <w:bookmarkEnd w:id="189"/>
          </w:p>
        </w:tc>
        <w:tc>
          <w:tcPr>
            <w:tcW w:w="108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items that will not be reclassified to the statement of income</w:t>
            </w: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90" w:name="XBRL_CS_4fd81dcb1f9e4ce39e2496043793ad20"/>
            <w:bookmarkEnd w:id="190"/>
            <w:bookmarkStart w:id="191" w:name="4fd81dcb1f9e4ce39e2496043793ad20"/>
            <w:r>
              <w:rPr>
                <w:rFonts w:ascii="Arial" w:eastAsia="Arial" w:hAnsi="Arial" w:cs="Arial"/>
                <w:b/>
                <w:i w:val="0"/>
                <w:strike w:val="0"/>
                <w:color w:val="000000"/>
                <w:sz w:val="13"/>
                <w:u w:val="none"/>
                <w:vertAlign w:val="baseline"/>
              </w:rPr>
              <w:t>9</w:t>
            </w:r>
            <w:bookmarkStart w:id="192" w:name="XBRL_CE_4fd81dcb1f9e4ce39e2496043793ad20"/>
            <w:bookmarkEnd w:id="191"/>
            <w:bookmarkEnd w:id="192"/>
          </w:p>
        </w:tc>
        <w:tc>
          <w:tcPr>
            <w:tcW w:w="120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93" w:name="XBRL_CS_fb0fef97c8524a6b8154255eac6bb36b"/>
            <w:bookmarkEnd w:id="193"/>
            <w:bookmarkStart w:id="194" w:name="fb0fef97c8524a6b8154255eac6bb36b"/>
            <w:r>
              <w:rPr>
                <w:rFonts w:ascii="Arial" w:eastAsia="Arial" w:hAnsi="Arial" w:cs="Arial"/>
                <w:b w:val="0"/>
                <w:i w:val="0"/>
                <w:strike w:val="0"/>
                <w:color w:val="000000"/>
                <w:sz w:val="13"/>
                <w:u w:val="none"/>
                <w:vertAlign w:val="baseline"/>
              </w:rPr>
              <w:t>5</w:t>
            </w:r>
            <w:bookmarkStart w:id="195" w:name="XBRL_CE_fb0fef97c8524a6b8154255eac6bb36b"/>
            <w:bookmarkEnd w:id="194"/>
            <w:bookmarkEnd w:id="195"/>
          </w:p>
        </w:tc>
        <w:tc>
          <w:tcPr>
            <w:tcW w:w="108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Items that may be reclassified subsequently to the statement of income</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Exchange rate differences on translating foreign operations</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for equity holders of the parent company</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96" w:name="XBRL_CS_670f5ffb02c94cc08ec0c7d49c68a25d"/>
            <w:bookmarkEnd w:id="196"/>
            <w:bookmarkStart w:id="197" w:name="670f5ffb02c94cc08ec0c7d49c68a25d"/>
            <w:r>
              <w:rPr>
                <w:rFonts w:ascii="Arial" w:eastAsia="Arial" w:hAnsi="Arial" w:cs="Arial"/>
                <w:b/>
                <w:i w:val="0"/>
                <w:strike w:val="0"/>
                <w:color w:val="000000"/>
                <w:sz w:val="13"/>
                <w:u w:val="none"/>
                <w:vertAlign w:val="baseline"/>
              </w:rPr>
              <w:t>72</w:t>
            </w:r>
            <w:bookmarkStart w:id="198" w:name="XBRL_CE_670f5ffb02c94cc08ec0c7d49c68a25d"/>
            <w:bookmarkEnd w:id="197"/>
            <w:bookmarkEnd w:id="198"/>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99" w:name="XBRL_CS_e1b65fe8e3f447cc9942b6e5b85cd91b"/>
            <w:bookmarkEnd w:id="199"/>
            <w:bookmarkStart w:id="200" w:name="e1b65fe8e3f447cc9942b6e5b85cd91b"/>
            <w:r>
              <w:rPr>
                <w:rFonts w:ascii="Arial" w:eastAsia="Arial" w:hAnsi="Arial" w:cs="Arial"/>
                <w:b w:val="0"/>
                <w:i w:val="0"/>
                <w:strike w:val="0"/>
                <w:color w:val="000000"/>
                <w:sz w:val="13"/>
                <w:u w:val="none"/>
                <w:vertAlign w:val="baseline"/>
              </w:rPr>
              <w:t>-74</w:t>
            </w:r>
            <w:bookmarkStart w:id="201" w:name="XBRL_CE_e1b65fe8e3f447cc9942b6e5b85cd91b"/>
            <w:bookmarkEnd w:id="200"/>
            <w:bookmarkEnd w:id="201"/>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for non-controlling interests </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02" w:name="XBRL_CS_ed43eb2f36bf461e8ef83ece66f3791a"/>
            <w:bookmarkEnd w:id="202"/>
            <w:bookmarkStart w:id="203" w:name="ed43eb2f36bf461e8ef83ece66f3791a"/>
            <w:r>
              <w:rPr>
                <w:rFonts w:ascii="Arial" w:eastAsia="Arial" w:hAnsi="Arial" w:cs="Arial"/>
                <w:b/>
                <w:i w:val="0"/>
                <w:strike w:val="0"/>
                <w:color w:val="000000"/>
                <w:sz w:val="13"/>
                <w:u w:val="none"/>
                <w:vertAlign w:val="baseline"/>
              </w:rPr>
              <w:t>-1</w:t>
            </w:r>
            <w:bookmarkStart w:id="204" w:name="XBRL_CE_ed43eb2f36bf461e8ef83ece66f3791a"/>
            <w:bookmarkEnd w:id="203"/>
            <w:bookmarkEnd w:id="204"/>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05" w:name="XBRL_CS_a2d8abc715c34b6380a867b9124456e7"/>
            <w:bookmarkEnd w:id="205"/>
            <w:bookmarkStart w:id="206" w:name="a2d8abc715c34b6380a867b9124456e7"/>
            <w:r>
              <w:rPr>
                <w:rFonts w:ascii="Arial" w:eastAsia="Arial" w:hAnsi="Arial" w:cs="Arial"/>
                <w:b w:val="0"/>
                <w:i w:val="0"/>
                <w:strike w:val="0"/>
                <w:color w:val="000000"/>
                <w:sz w:val="13"/>
                <w:u w:val="none"/>
                <w:vertAlign w:val="baseline"/>
              </w:rPr>
              <w:t>-1</w:t>
            </w:r>
            <w:bookmarkStart w:id="207" w:name="XBRL_CE_a2d8abc715c34b6380a867b9124456e7"/>
            <w:bookmarkEnd w:id="206"/>
            <w:bookmarkEnd w:id="207"/>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transferred to the statement of income</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08" w:name="XBRL_CS_a6112ecd69fa43e797f7c602271d0914"/>
            <w:bookmarkEnd w:id="208"/>
            <w:bookmarkStart w:id="209" w:name="a6112ecd69fa43e797f7c602271d0914"/>
            <w:bookmarkStart w:id="210" w:name="XBRL_CE_a6112ecd69fa43e797f7c602271d0914"/>
            <w:bookmarkEnd w:id="209"/>
            <w:bookmarkEnd w:id="210"/>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11" w:name="XBRL_CS_c53b2f17ca5f42ec87f33123e811f4b0"/>
            <w:bookmarkEnd w:id="211"/>
            <w:bookmarkStart w:id="212" w:name="c53b2f17ca5f42ec87f33123e811f4b0"/>
            <w:r>
              <w:rPr>
                <w:rFonts w:ascii="Arial" w:eastAsia="Arial" w:hAnsi="Arial" w:cs="Arial"/>
                <w:b w:val="0"/>
                <w:i w:val="0"/>
                <w:strike w:val="0"/>
                <w:color w:val="000000"/>
                <w:sz w:val="13"/>
                <w:u w:val="none"/>
                <w:vertAlign w:val="baseline"/>
              </w:rPr>
              <w:t>-6</w:t>
            </w:r>
            <w:bookmarkStart w:id="213" w:name="XBRL_CE_c53b2f17ca5f42ec87f33123e811f4b0"/>
            <w:bookmarkEnd w:id="212"/>
            <w:bookmarkEnd w:id="213"/>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Associates and joint ventures, share of other comprehensive income</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14" w:name="XBRL_CS_5232c3918f8245acaf0e05d64fde58a8"/>
            <w:bookmarkEnd w:id="214"/>
            <w:bookmarkStart w:id="215" w:name="5232c3918f8245acaf0e05d64fde58a8"/>
            <w:r>
              <w:rPr>
                <w:rFonts w:ascii="Arial" w:eastAsia="Arial" w:hAnsi="Arial" w:cs="Arial"/>
                <w:b/>
                <w:i w:val="0"/>
                <w:strike w:val="0"/>
                <w:color w:val="000000"/>
                <w:sz w:val="13"/>
                <w:u w:val="none"/>
                <w:vertAlign w:val="baseline"/>
              </w:rPr>
              <w:t>3</w:t>
            </w:r>
            <w:bookmarkStart w:id="216" w:name="XBRL_CE_5232c3918f8245acaf0e05d64fde58a8"/>
            <w:bookmarkEnd w:id="215"/>
            <w:bookmarkEnd w:id="216"/>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17" w:name="XBRL_CS_fe06667f6eb34307ae223f48d0af4aac"/>
            <w:bookmarkEnd w:id="217"/>
            <w:bookmarkStart w:id="218" w:name="fe06667f6eb34307ae223f48d0af4aac"/>
            <w:r>
              <w:rPr>
                <w:rFonts w:ascii="Arial" w:eastAsia="Arial" w:hAnsi="Arial" w:cs="Arial"/>
                <w:b w:val="0"/>
                <w:i w:val="0"/>
                <w:strike w:val="0"/>
                <w:color w:val="000000"/>
                <w:sz w:val="13"/>
                <w:u w:val="none"/>
                <w:vertAlign w:val="baseline"/>
              </w:rPr>
              <w:t>-2</w:t>
            </w:r>
            <w:bookmarkStart w:id="219" w:name="XBRL_CE_fe06667f6eb34307ae223f48d0af4aac"/>
            <w:bookmarkEnd w:id="218"/>
            <w:bookmarkEnd w:id="219"/>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nil"/>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flow hedges</w:t>
            </w:r>
          </w:p>
        </w:tc>
        <w:tc>
          <w:tcPr>
            <w:tcW w:w="1200"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nil"/>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nil"/>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measured at fair value</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20" w:name="XBRL_CS_2b2bc83554834d518829e4cca125f3b4"/>
            <w:bookmarkEnd w:id="220"/>
            <w:bookmarkStart w:id="221" w:name="2b2bc83554834d518829e4cca125f3b4"/>
            <w:r>
              <w:rPr>
                <w:rFonts w:ascii="Arial" w:eastAsia="Arial" w:hAnsi="Arial" w:cs="Arial"/>
                <w:b/>
                <w:i w:val="0"/>
                <w:strike w:val="0"/>
                <w:color w:val="000000"/>
                <w:sz w:val="13"/>
                <w:u w:val="none"/>
                <w:vertAlign w:val="baseline"/>
              </w:rPr>
              <w:t>-13</w:t>
            </w:r>
            <w:bookmarkStart w:id="222" w:name="XBRL_CE_2b2bc83554834d518829e4cca125f3b4"/>
            <w:bookmarkEnd w:id="221"/>
            <w:bookmarkEnd w:id="222"/>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23" w:name="XBRL_CS_36e0d8840968423b92267325d347507e"/>
            <w:bookmarkEnd w:id="223"/>
            <w:bookmarkStart w:id="224" w:name="36e0d8840968423b92267325d347507e"/>
            <w:r>
              <w:rPr>
                <w:rFonts w:ascii="Arial" w:eastAsia="Arial" w:hAnsi="Arial" w:cs="Arial"/>
                <w:b w:val="0"/>
                <w:i w:val="0"/>
                <w:strike w:val="0"/>
                <w:color w:val="000000"/>
                <w:sz w:val="13"/>
                <w:u w:val="none"/>
                <w:vertAlign w:val="baseline"/>
              </w:rPr>
              <w:t>-3</w:t>
            </w:r>
            <w:bookmarkStart w:id="225" w:name="XBRL_CE_36e0d8840968423b92267325d347507e"/>
            <w:bookmarkEnd w:id="224"/>
            <w:bookmarkEnd w:id="225"/>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transferred to the statement of income</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26" w:name="XBRL_CS_a46011f2fddb4c758206379e91bfce9b"/>
            <w:bookmarkEnd w:id="226"/>
            <w:bookmarkStart w:id="227" w:name="a46011f2fddb4c758206379e91bfce9b"/>
            <w:r>
              <w:rPr>
                <w:rFonts w:ascii="Arial" w:eastAsia="Arial" w:hAnsi="Arial" w:cs="Arial"/>
                <w:b/>
                <w:i w:val="0"/>
                <w:strike w:val="0"/>
                <w:color w:val="000000"/>
                <w:sz w:val="13"/>
                <w:u w:val="none"/>
                <w:vertAlign w:val="baseline"/>
              </w:rPr>
              <w:t>4</w:t>
            </w:r>
            <w:bookmarkStart w:id="228" w:name="XBRL_CE_a46011f2fddb4c758206379e91bfce9b"/>
            <w:bookmarkEnd w:id="227"/>
            <w:bookmarkEnd w:id="228"/>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29" w:name="XBRL_CS_fe0e960456d641efb6d98e007b4cdff2"/>
            <w:bookmarkEnd w:id="229"/>
            <w:bookmarkStart w:id="230" w:name="fe0e960456d641efb6d98e007b4cdff2"/>
            <w:r>
              <w:rPr>
                <w:rFonts w:ascii="Arial" w:eastAsia="Arial" w:hAnsi="Arial" w:cs="Arial"/>
                <w:b w:val="0"/>
                <w:i w:val="0"/>
                <w:strike w:val="0"/>
                <w:color w:val="000000"/>
                <w:sz w:val="13"/>
                <w:u w:val="none"/>
                <w:vertAlign w:val="baseline"/>
              </w:rPr>
              <w:t>6</w:t>
            </w:r>
            <w:bookmarkStart w:id="231" w:name="XBRL_CE_fe0e960456d641efb6d98e007b4cdff2"/>
            <w:bookmarkEnd w:id="230"/>
            <w:bookmarkEnd w:id="231"/>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Tax on items that may be reclassified to the statement of income</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nil"/>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flow hedges</w:t>
            </w:r>
          </w:p>
        </w:tc>
        <w:tc>
          <w:tcPr>
            <w:tcW w:w="1200"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nil"/>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nil"/>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measured at fair value</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32" w:name="XBRL_CS_39143d09ec674b54b4ce43c74d056af1"/>
            <w:bookmarkEnd w:id="232"/>
            <w:bookmarkStart w:id="233" w:name="39143d09ec674b54b4ce43c74d056af1"/>
            <w:r>
              <w:rPr>
                <w:rFonts w:ascii="Arial" w:eastAsia="Arial" w:hAnsi="Arial" w:cs="Arial"/>
                <w:b/>
                <w:i w:val="0"/>
                <w:strike w:val="0"/>
                <w:color w:val="000000"/>
                <w:sz w:val="13"/>
                <w:u w:val="none"/>
                <w:vertAlign w:val="baseline"/>
              </w:rPr>
              <w:t>2</w:t>
            </w:r>
            <w:bookmarkStart w:id="234" w:name="XBRL_CE_39143d09ec674b54b4ce43c74d056af1"/>
            <w:bookmarkEnd w:id="233"/>
            <w:bookmarkEnd w:id="234"/>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8" w:space="0" w:color="0F172B"/>
              <w:right w:val="nil"/>
              <w:tl2br w:val="nil"/>
              <w:tr2bl w:val="nil"/>
            </w:tcBorders>
            <w:shd w:val="clear" w:color="FFFFFF" w:fill="FFFFFF"/>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transferred to the statement of income</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35" w:name="XBRL_CS_890ae40a7d2d48b794416c27ed050c74"/>
            <w:bookmarkEnd w:id="235"/>
            <w:bookmarkStart w:id="236" w:name="890ae40a7d2d48b794416c27ed050c74"/>
            <w:r>
              <w:rPr>
                <w:rFonts w:ascii="Arial" w:eastAsia="Arial" w:hAnsi="Arial" w:cs="Arial"/>
                <w:b/>
                <w:i w:val="0"/>
                <w:strike w:val="0"/>
                <w:color w:val="000000"/>
                <w:sz w:val="13"/>
                <w:u w:val="none"/>
                <w:vertAlign w:val="baseline"/>
              </w:rPr>
              <w:t>-1</w:t>
            </w:r>
            <w:bookmarkStart w:id="237" w:name="XBRL_CE_890ae40a7d2d48b794416c27ed050c74"/>
            <w:bookmarkEnd w:id="236"/>
            <w:bookmarkEnd w:id="237"/>
          </w:p>
        </w:tc>
        <w:tc>
          <w:tcPr>
            <w:tcW w:w="120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38" w:name="XBRL_CS_e1b7e3dc51574252ab5138894a3bce43"/>
            <w:bookmarkEnd w:id="238"/>
            <w:bookmarkStart w:id="239" w:name="e1b7e3dc51574252ab5138894a3bce43"/>
            <w:r>
              <w:rPr>
                <w:rFonts w:ascii="Arial" w:eastAsia="Arial" w:hAnsi="Arial" w:cs="Arial"/>
                <w:b w:val="0"/>
                <w:i w:val="0"/>
                <w:strike w:val="0"/>
                <w:color w:val="000000"/>
                <w:sz w:val="13"/>
                <w:u w:val="none"/>
                <w:vertAlign w:val="baseline"/>
              </w:rPr>
              <w:t>-1</w:t>
            </w:r>
            <w:bookmarkStart w:id="240" w:name="XBRL_CE_e1b7e3dc51574252ab5138894a3bce43"/>
            <w:bookmarkEnd w:id="239"/>
            <w:bookmarkEnd w:id="240"/>
          </w:p>
        </w:tc>
        <w:tc>
          <w:tcPr>
            <w:tcW w:w="108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items that may be reclassified to the statement of income</w:t>
            </w: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41" w:name="XBRL_CS_31df15d0faf7495bb953cfdccfe7fb0c"/>
            <w:bookmarkEnd w:id="241"/>
            <w:bookmarkStart w:id="242" w:name="31df15d0faf7495bb953cfdccfe7fb0c"/>
            <w:r>
              <w:rPr>
                <w:rFonts w:ascii="Arial" w:eastAsia="Arial" w:hAnsi="Arial" w:cs="Arial"/>
                <w:b/>
                <w:i w:val="0"/>
                <w:strike w:val="0"/>
                <w:color w:val="000000"/>
                <w:sz w:val="13"/>
                <w:u w:val="none"/>
                <w:vertAlign w:val="baseline"/>
              </w:rPr>
              <w:t>65</w:t>
            </w:r>
            <w:bookmarkStart w:id="243" w:name="XBRL_CE_31df15d0faf7495bb953cfdccfe7fb0c"/>
            <w:bookmarkEnd w:id="242"/>
            <w:bookmarkEnd w:id="243"/>
          </w:p>
        </w:tc>
        <w:tc>
          <w:tcPr>
            <w:tcW w:w="120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44" w:name="XBRL_CS_16ecfde25ac64e5db85e43f6cec36dd9"/>
            <w:bookmarkEnd w:id="244"/>
            <w:bookmarkStart w:id="245" w:name="16ecfde25ac64e5db85e43f6cec36dd9"/>
            <w:r>
              <w:rPr>
                <w:rFonts w:ascii="Arial" w:eastAsia="Arial" w:hAnsi="Arial" w:cs="Arial"/>
                <w:b w:val="0"/>
                <w:i w:val="0"/>
                <w:strike w:val="0"/>
                <w:color w:val="000000"/>
                <w:sz w:val="13"/>
                <w:u w:val="none"/>
                <w:vertAlign w:val="baseline"/>
              </w:rPr>
              <w:t>-81</w:t>
            </w:r>
            <w:bookmarkStart w:id="246" w:name="XBRL_CE_16ecfde25ac64e5db85e43f6cec36dd9"/>
            <w:bookmarkEnd w:id="245"/>
            <w:bookmarkEnd w:id="246"/>
          </w:p>
        </w:tc>
        <w:tc>
          <w:tcPr>
            <w:tcW w:w="108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Other comprehensive income for the financial period, net of taxes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47" w:name="XBRL_CS_9d5aa370282c4a45926a1eb1079f5105"/>
            <w:bookmarkEnd w:id="247"/>
            <w:bookmarkStart w:id="248" w:name="9d5aa370282c4a45926a1eb1079f5105"/>
            <w:r>
              <w:rPr>
                <w:rFonts w:ascii="Arial" w:eastAsia="Arial" w:hAnsi="Arial" w:cs="Arial"/>
                <w:b/>
                <w:i w:val="0"/>
                <w:strike w:val="0"/>
                <w:color w:val="000000"/>
                <w:sz w:val="13"/>
                <w:u w:val="none"/>
                <w:vertAlign w:val="baseline"/>
              </w:rPr>
              <w:t>73</w:t>
            </w:r>
            <w:bookmarkStart w:id="249" w:name="XBRL_CE_9d5aa370282c4a45926a1eb1079f5105"/>
            <w:bookmarkEnd w:id="248"/>
            <w:bookmarkEnd w:id="249"/>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50" w:name="XBRL_CS_ba314b925f2b48929fb8d75419270010"/>
            <w:bookmarkEnd w:id="250"/>
            <w:bookmarkStart w:id="251" w:name="ba314b925f2b48929fb8d75419270010"/>
            <w:r>
              <w:rPr>
                <w:rFonts w:ascii="Arial" w:eastAsia="Arial" w:hAnsi="Arial" w:cs="Arial"/>
                <w:b w:val="0"/>
                <w:i w:val="0"/>
                <w:strike w:val="0"/>
                <w:color w:val="000000"/>
                <w:sz w:val="13"/>
                <w:u w:val="none"/>
                <w:vertAlign w:val="baseline"/>
              </w:rPr>
              <w:t>-76</w:t>
            </w:r>
            <w:bookmarkStart w:id="252" w:name="XBRL_CE_ba314b925f2b48929fb8d75419270010"/>
            <w:bookmarkEnd w:id="251"/>
            <w:bookmarkEnd w:id="252"/>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8" w:space="0" w:color="0F172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comprehensive income for the financial period</w:t>
            </w:r>
          </w:p>
        </w:tc>
        <w:tc>
          <w:tcPr>
            <w:tcW w:w="120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53" w:name="XBRL_CS_73c9f8c3e2e64975a2c79bb2af01bad4"/>
            <w:bookmarkEnd w:id="253"/>
            <w:bookmarkStart w:id="254" w:name="73c9f8c3e2e64975a2c79bb2af01bad4"/>
            <w:r>
              <w:rPr>
                <w:rFonts w:ascii="Arial" w:eastAsia="Arial" w:hAnsi="Arial" w:cs="Arial"/>
                <w:b/>
                <w:i w:val="0"/>
                <w:strike w:val="0"/>
                <w:color w:val="000000"/>
                <w:sz w:val="13"/>
                <w:u w:val="none"/>
                <w:vertAlign w:val="baseline"/>
              </w:rPr>
              <w:t>267</w:t>
            </w:r>
            <w:bookmarkStart w:id="255" w:name="XBRL_CE_73c9f8c3e2e64975a2c79bb2af01bad4"/>
            <w:bookmarkEnd w:id="254"/>
            <w:bookmarkEnd w:id="255"/>
          </w:p>
        </w:tc>
        <w:tc>
          <w:tcPr>
            <w:tcW w:w="120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56" w:name="XBRL_CS_2562d237186d4c989fd64a8c5bade1f5"/>
            <w:bookmarkEnd w:id="256"/>
            <w:bookmarkStart w:id="257" w:name="2562d237186d4c989fd64a8c5bade1f5"/>
            <w:r>
              <w:rPr>
                <w:rFonts w:ascii="Arial" w:eastAsia="Arial" w:hAnsi="Arial" w:cs="Arial"/>
                <w:b w:val="0"/>
                <w:i w:val="0"/>
                <w:strike w:val="0"/>
                <w:color w:val="000000"/>
                <w:sz w:val="13"/>
                <w:u w:val="none"/>
                <w:vertAlign w:val="baseline"/>
              </w:rPr>
              <w:t>57</w:t>
            </w:r>
            <w:bookmarkStart w:id="258" w:name="XBRL_CE_2562d237186d4c989fd64a8c5bade1f5"/>
            <w:bookmarkEnd w:id="257"/>
            <w:bookmarkEnd w:id="258"/>
          </w:p>
        </w:tc>
        <w:tc>
          <w:tcPr>
            <w:tcW w:w="1080" w:type="dxa"/>
            <w:tcBorders>
              <w:top w:val="single" w:sz="8" w:space="0" w:color="0F172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Total comprehensive income attributable to:</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equity holders of the parent company</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59" w:name="XBRL_CS_ca1351c60d9e460a87c6cce79e897108"/>
            <w:bookmarkEnd w:id="259"/>
            <w:bookmarkStart w:id="260" w:name="ca1351c60d9e460a87c6cce79e897108"/>
            <w:r>
              <w:rPr>
                <w:rFonts w:ascii="Arial" w:eastAsia="Arial" w:hAnsi="Arial" w:cs="Arial"/>
                <w:b/>
                <w:i w:val="0"/>
                <w:strike w:val="0"/>
                <w:color w:val="000000"/>
                <w:sz w:val="13"/>
                <w:u w:val="none"/>
                <w:vertAlign w:val="baseline"/>
              </w:rPr>
              <w:t>268</w:t>
            </w:r>
            <w:bookmarkStart w:id="261" w:name="XBRL_CE_ca1351c60d9e460a87c6cce79e897108"/>
            <w:bookmarkEnd w:id="260"/>
            <w:bookmarkEnd w:id="261"/>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62" w:name="XBRL_CS_019b2b0bba554f36821c9a08688f7cc7"/>
            <w:bookmarkEnd w:id="262"/>
            <w:bookmarkStart w:id="263" w:name="019b2b0bba554f36821c9a08688f7cc7"/>
            <w:r>
              <w:rPr>
                <w:rFonts w:ascii="Arial" w:eastAsia="Arial" w:hAnsi="Arial" w:cs="Arial"/>
                <w:b w:val="0"/>
                <w:i w:val="0"/>
                <w:strike w:val="0"/>
                <w:color w:val="000000"/>
                <w:sz w:val="13"/>
                <w:u w:val="none"/>
                <w:vertAlign w:val="baseline"/>
              </w:rPr>
              <w:t>59</w:t>
            </w:r>
            <w:bookmarkStart w:id="264" w:name="XBRL_CE_019b2b0bba554f36821c9a08688f7cc7"/>
            <w:bookmarkEnd w:id="263"/>
            <w:bookmarkEnd w:id="264"/>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8" w:space="0" w:color="0F172B"/>
              <w:right w:val="nil"/>
              <w:tl2br w:val="nil"/>
              <w:tr2bl w:val="nil"/>
            </w:tcBorders>
            <w:shd w:val="clear" w:color="FFFFFF" w:fill="FFFFFF"/>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non-controlling interests</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65" w:name="XBRL_CS_9a8d312037b148d9ac3f2fa617a47f6c"/>
            <w:bookmarkEnd w:id="265"/>
            <w:bookmarkStart w:id="266" w:name="9a8d312037b148d9ac3f2fa617a47f6c"/>
            <w:r>
              <w:rPr>
                <w:rFonts w:ascii="Arial" w:eastAsia="Arial" w:hAnsi="Arial" w:cs="Arial"/>
                <w:b/>
                <w:i w:val="0"/>
                <w:strike w:val="0"/>
                <w:color w:val="000000"/>
                <w:sz w:val="13"/>
                <w:u w:val="none"/>
                <w:vertAlign w:val="baseline"/>
              </w:rPr>
              <w:t>-1</w:t>
            </w:r>
            <w:bookmarkStart w:id="267" w:name="XBRL_CE_9a8d312037b148d9ac3f2fa617a47f6c"/>
            <w:bookmarkEnd w:id="266"/>
            <w:bookmarkEnd w:id="267"/>
          </w:p>
        </w:tc>
        <w:tc>
          <w:tcPr>
            <w:tcW w:w="120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68" w:name="XBRL_CS_15ffa72b3fdb48b4a4fcbd9a7b06c12a"/>
            <w:bookmarkEnd w:id="268"/>
            <w:bookmarkStart w:id="269" w:name="15ffa72b3fdb48b4a4fcbd9a7b06c12a"/>
            <w:r>
              <w:rPr>
                <w:rFonts w:ascii="Arial" w:eastAsia="Arial" w:hAnsi="Arial" w:cs="Arial"/>
                <w:b w:val="0"/>
                <w:i w:val="0"/>
                <w:strike w:val="0"/>
                <w:color w:val="000000"/>
                <w:sz w:val="13"/>
                <w:u w:val="none"/>
                <w:vertAlign w:val="baseline"/>
              </w:rPr>
              <w:t>-1</w:t>
            </w:r>
            <w:bookmarkStart w:id="270" w:name="XBRL_CE_15ffa72b3fdb48b4a4fcbd9a7b06c12a"/>
            <w:bookmarkEnd w:id="269"/>
            <w:bookmarkEnd w:id="270"/>
          </w:p>
        </w:tc>
        <w:tc>
          <w:tcPr>
            <w:tcW w:w="108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71" w:name="XBRL_CS_4f99d937c8064b5fb44f1510efb9ca5b"/>
            <w:bookmarkEnd w:id="271"/>
            <w:bookmarkStart w:id="272" w:name="4f99d937c8064b5fb44f1510efb9ca5b"/>
            <w:r>
              <w:rPr>
                <w:rFonts w:ascii="Arial" w:eastAsia="Arial" w:hAnsi="Arial" w:cs="Arial"/>
                <w:b/>
                <w:i w:val="0"/>
                <w:strike w:val="0"/>
                <w:color w:val="000000"/>
                <w:sz w:val="13"/>
                <w:u w:val="none"/>
                <w:vertAlign w:val="baseline"/>
              </w:rPr>
              <w:t>267</w:t>
            </w:r>
            <w:bookmarkStart w:id="273" w:name="XBRL_CE_4f99d937c8064b5fb44f1510efb9ca5b"/>
            <w:bookmarkEnd w:id="272"/>
            <w:bookmarkEnd w:id="273"/>
          </w:p>
        </w:tc>
        <w:tc>
          <w:tcPr>
            <w:tcW w:w="120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74" w:name="XBRL_CS_512f3814ea584aea9025216f526bfd0d"/>
            <w:bookmarkEnd w:id="274"/>
            <w:bookmarkStart w:id="275" w:name="512f3814ea584aea9025216f526bfd0d"/>
            <w:r>
              <w:rPr>
                <w:rFonts w:ascii="Arial" w:eastAsia="Arial" w:hAnsi="Arial" w:cs="Arial"/>
                <w:b w:val="0"/>
                <w:i w:val="0"/>
                <w:strike w:val="0"/>
                <w:color w:val="000000"/>
                <w:sz w:val="13"/>
                <w:u w:val="none"/>
                <w:vertAlign w:val="baseline"/>
              </w:rPr>
              <w:t>57</w:t>
            </w:r>
            <w:bookmarkStart w:id="276" w:name="XBRL_CE_512f3814ea584aea9025216f526bfd0d"/>
            <w:bookmarkEnd w:id="275"/>
            <w:bookmarkEnd w:id="276"/>
          </w:p>
        </w:tc>
        <w:tc>
          <w:tcPr>
            <w:tcW w:w="108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bl>
    <w:p w:rsidR="002941DE" w:rsidP="00E75286" w14:paraId="79C60DCA" w14:textId="77777777">
      <w:pPr>
        <w:pStyle w:val="Bodytext2"/>
      </w:pPr>
      <w:bookmarkStart w:id="277" w:name="RG_MARKER_7383"/>
      <w:bookmarkEnd w:id="277"/>
    </w:p>
    <w:p w:rsidR="00E75286" w:rsidRPr="00CC289E" w:rsidP="00E75286" w14:textId="356B8B26">
      <w:pPr>
        <w:pStyle w:val="Bodytext2"/>
        <w:rPr>
          <w:sz w:val="2"/>
          <w:szCs w:val="2"/>
        </w:rPr>
      </w:pPr>
      <w:r w:rsidRPr="00E75286">
        <w:t>The notes are an integral part of these consolidated financial statements.</w:t>
      </w:r>
      <w:r>
        <w:br w:type="column"/>
      </w:r>
    </w:p>
    <w:p w:rsidR="00E2052E" w:rsidRPr="00F05ECB" w:rsidP="00156F9D" w14:paraId="45B3FCB8" w14:textId="3FA062A1">
      <w:pPr>
        <w:pStyle w:val="Heading105"/>
        <w:spacing w:after="120"/>
        <w:rPr>
          <w:sz w:val="2"/>
          <w:szCs w:val="2"/>
        </w:rPr>
      </w:pPr>
      <w:bookmarkStart w:id="278" w:name="RG_MARKER_7350"/>
      <w:r w:rsidRPr="00E2052E">
        <w:t>CONSOLIDATED STATEMENT OF FINANCIAL POSITION</w:t>
      </w:r>
      <w:bookmarkEnd w:id="278"/>
    </w:p>
    <w:p/>
    <w:tbl>
      <w:tblPr>
        <w:tblStyle w:val="CDMRange1"/>
        <w:tblW w:w="7365" w:type="dxa"/>
        <w:tblLayout w:type="fixed"/>
        <w:tblLook w:val="0600"/>
      </w:tblPr>
      <w:tblGrid>
        <w:gridCol w:w="3885"/>
        <w:gridCol w:w="1200"/>
        <w:gridCol w:w="1200"/>
        <w:gridCol w:w="1080"/>
      </w:tblGrid>
      <w:tr>
        <w:tblPrEx>
          <w:tblW w:w="7365" w:type="dxa"/>
          <w:tblLayout w:type="fixed"/>
          <w:tblLook w:val="0600"/>
        </w:tblPrEx>
        <w:trPr>
          <w:trHeight w:hRule="exact" w:val="240"/>
        </w:trPr>
        <w:tc>
          <w:tcPr>
            <w:tcW w:w="388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0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31.12.2021</w:t>
            </w:r>
          </w:p>
        </w:tc>
        <w:tc>
          <w:tcPr>
            <w:tcW w:w="120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31.12.2020</w:t>
            </w: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Note</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8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Assets</w:t>
            </w:r>
          </w:p>
        </w:tc>
        <w:tc>
          <w:tcPr>
            <w:tcW w:w="1200"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E56D0A"/>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Non-current assets</w:t>
            </w:r>
          </w:p>
        </w:tc>
        <w:tc>
          <w:tcPr>
            <w:tcW w:w="1200"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Goodwill</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79" w:name="XBRL_CS_1e9b1d1bf5a643f6a5d348e7d25cf3b5"/>
            <w:bookmarkEnd w:id="279"/>
            <w:bookmarkStart w:id="280" w:name="1e9b1d1bf5a643f6a5d348e7d25cf3b5"/>
            <w:r>
              <w:rPr>
                <w:rFonts w:ascii="Arial" w:eastAsia="Arial" w:hAnsi="Arial" w:cs="Arial"/>
                <w:b/>
                <w:i w:val="0"/>
                <w:strike w:val="0"/>
                <w:color w:val="000000"/>
                <w:sz w:val="13"/>
                <w:u w:val="none"/>
                <w:vertAlign w:val="baseline"/>
              </w:rPr>
              <w:t>1,374</w:t>
            </w:r>
            <w:bookmarkStart w:id="281" w:name="XBRL_CE_1e9b1d1bf5a643f6a5d348e7d25cf3b5"/>
            <w:bookmarkEnd w:id="280"/>
            <w:bookmarkEnd w:id="281"/>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82" w:name="XBRL_CS_573ae0f0c62e4f5ca8c927a047405d18"/>
            <w:bookmarkEnd w:id="282"/>
            <w:bookmarkStart w:id="283" w:name="573ae0f0c62e4f5ca8c927a047405d18"/>
            <w:r>
              <w:rPr>
                <w:rFonts w:ascii="Arial" w:eastAsia="Arial" w:hAnsi="Arial" w:cs="Arial"/>
                <w:b w:val="0"/>
                <w:i w:val="0"/>
                <w:strike w:val="0"/>
                <w:color w:val="000000"/>
                <w:sz w:val="13"/>
                <w:u w:val="none"/>
                <w:vertAlign w:val="baseline"/>
              </w:rPr>
              <w:t>1,325</w:t>
            </w:r>
            <w:bookmarkStart w:id="284" w:name="XBRL_CE_573ae0f0c62e4f5ca8c927a047405d18"/>
            <w:bookmarkEnd w:id="283"/>
            <w:bookmarkEnd w:id="284"/>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Intangible assets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85" w:name="XBRL_CS_ae9cdd8f75e2474380aaca609f700264"/>
            <w:bookmarkEnd w:id="285"/>
            <w:bookmarkStart w:id="286" w:name="ae9cdd8f75e2474380aaca609f700264"/>
            <w:r>
              <w:rPr>
                <w:rFonts w:ascii="Arial" w:eastAsia="Arial" w:hAnsi="Arial" w:cs="Arial"/>
                <w:b/>
                <w:i w:val="0"/>
                <w:strike w:val="0"/>
                <w:color w:val="000000"/>
                <w:sz w:val="13"/>
                <w:u w:val="none"/>
                <w:vertAlign w:val="baseline"/>
              </w:rPr>
              <w:t>401</w:t>
            </w:r>
            <w:bookmarkStart w:id="287" w:name="XBRL_CE_ae9cdd8f75e2474380aaca609f700264"/>
            <w:bookmarkEnd w:id="286"/>
            <w:bookmarkEnd w:id="287"/>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88" w:name="XBRL_CS_beb729e11f0b45bb9ecb2f7ffddc34fb"/>
            <w:bookmarkEnd w:id="288"/>
            <w:bookmarkStart w:id="289" w:name="beb729e11f0b45bb9ecb2f7ffddc34fb"/>
            <w:r>
              <w:rPr>
                <w:rFonts w:ascii="Arial" w:eastAsia="Arial" w:hAnsi="Arial" w:cs="Arial"/>
                <w:b w:val="0"/>
                <w:i w:val="0"/>
                <w:strike w:val="0"/>
                <w:color w:val="000000"/>
                <w:sz w:val="13"/>
                <w:u w:val="none"/>
                <w:vertAlign w:val="baseline"/>
              </w:rPr>
              <w:t>391</w:t>
            </w:r>
            <w:bookmarkStart w:id="290" w:name="XBRL_CE_beb729e11f0b45bb9ecb2f7ffddc34fb"/>
            <w:bookmarkEnd w:id="289"/>
            <w:bookmarkEnd w:id="290"/>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Property, plant and equipment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91" w:name="XBRL_CS_53c640bb2c54446391489a582b80549e"/>
            <w:bookmarkEnd w:id="291"/>
            <w:bookmarkStart w:id="292" w:name="53c640bb2c54446391489a582b80549e"/>
            <w:r>
              <w:rPr>
                <w:rFonts w:ascii="Arial" w:eastAsia="Arial" w:hAnsi="Arial" w:cs="Arial"/>
                <w:b/>
                <w:i w:val="0"/>
                <w:strike w:val="0"/>
                <w:color w:val="000000"/>
                <w:sz w:val="13"/>
                <w:u w:val="none"/>
                <w:vertAlign w:val="baseline"/>
              </w:rPr>
              <w:t>312</w:t>
            </w:r>
            <w:bookmarkStart w:id="293" w:name="XBRL_CE_53c640bb2c54446391489a582b80549e"/>
            <w:bookmarkEnd w:id="292"/>
            <w:bookmarkEnd w:id="293"/>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94" w:name="XBRL_CS_57ff98d2df0c43b083e2963b3c2ec8ee"/>
            <w:bookmarkEnd w:id="294"/>
            <w:bookmarkStart w:id="295" w:name="57ff98d2df0c43b083e2963b3c2ec8ee"/>
            <w:r>
              <w:rPr>
                <w:rFonts w:ascii="Arial" w:eastAsia="Arial" w:hAnsi="Arial" w:cs="Arial"/>
                <w:b w:val="0"/>
                <w:i w:val="0"/>
                <w:strike w:val="0"/>
                <w:color w:val="000000"/>
                <w:sz w:val="13"/>
                <w:u w:val="none"/>
                <w:vertAlign w:val="baseline"/>
              </w:rPr>
              <w:t>282</w:t>
            </w:r>
            <w:bookmarkStart w:id="296" w:name="XBRL_CE_57ff98d2df0c43b083e2963b3c2ec8ee"/>
            <w:bookmarkEnd w:id="295"/>
            <w:bookmarkEnd w:id="296"/>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Right-of-use assets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97" w:name="XBRL_CS_92394345012c4e999c471594713bf7f7"/>
            <w:bookmarkEnd w:id="297"/>
            <w:bookmarkStart w:id="298" w:name="92394345012c4e999c471594713bf7f7"/>
            <w:r>
              <w:rPr>
                <w:rFonts w:ascii="Arial" w:eastAsia="Arial" w:hAnsi="Arial" w:cs="Arial"/>
                <w:b/>
                <w:i w:val="0"/>
                <w:strike w:val="0"/>
                <w:color w:val="000000"/>
                <w:sz w:val="13"/>
                <w:u w:val="none"/>
                <w:vertAlign w:val="baseline"/>
              </w:rPr>
              <w:t>192</w:t>
            </w:r>
            <w:bookmarkStart w:id="299" w:name="XBRL_CE_92394345012c4e999c471594713bf7f7"/>
            <w:bookmarkEnd w:id="298"/>
            <w:bookmarkEnd w:id="299"/>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00" w:name="XBRL_CS_3bf21ee7a3304e948666d7881198d8be"/>
            <w:bookmarkEnd w:id="300"/>
            <w:bookmarkStart w:id="301" w:name="3bf21ee7a3304e948666d7881198d8be"/>
            <w:r>
              <w:rPr>
                <w:rFonts w:ascii="Arial" w:eastAsia="Arial" w:hAnsi="Arial" w:cs="Arial"/>
                <w:b w:val="0"/>
                <w:i w:val="0"/>
                <w:strike w:val="0"/>
                <w:color w:val="000000"/>
                <w:sz w:val="13"/>
                <w:u w:val="none"/>
                <w:vertAlign w:val="baseline"/>
              </w:rPr>
              <w:t>162</w:t>
            </w:r>
            <w:bookmarkStart w:id="302" w:name="XBRL_CE_3bf21ee7a3304e948666d7881198d8be"/>
            <w:bookmarkEnd w:id="301"/>
            <w:bookmarkEnd w:id="302"/>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Investments in associates and joint ventures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03" w:name="XBRL_CS_c8e1d544f135420c9cdd8f27d0a47640"/>
            <w:bookmarkEnd w:id="303"/>
            <w:bookmarkStart w:id="304" w:name="c8e1d544f135420c9cdd8f27d0a47640"/>
            <w:r>
              <w:rPr>
                <w:rFonts w:ascii="Arial" w:eastAsia="Arial" w:hAnsi="Arial" w:cs="Arial"/>
                <w:b/>
                <w:i w:val="0"/>
                <w:strike w:val="0"/>
                <w:color w:val="000000"/>
                <w:sz w:val="13"/>
                <w:u w:val="none"/>
                <w:vertAlign w:val="baseline"/>
              </w:rPr>
              <w:t>27</w:t>
            </w:r>
            <w:bookmarkStart w:id="305" w:name="XBRL_CE_c8e1d544f135420c9cdd8f27d0a47640"/>
            <w:bookmarkEnd w:id="304"/>
            <w:bookmarkEnd w:id="305"/>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06" w:name="XBRL_CS_f944b1f7606b4f3097bfddf10453e86d"/>
            <w:bookmarkEnd w:id="306"/>
            <w:bookmarkStart w:id="307" w:name="f944b1f7606b4f3097bfddf10453e86d"/>
            <w:r>
              <w:rPr>
                <w:rFonts w:ascii="Arial" w:eastAsia="Arial" w:hAnsi="Arial" w:cs="Arial"/>
                <w:b w:val="0"/>
                <w:i w:val="0"/>
                <w:strike w:val="0"/>
                <w:color w:val="000000"/>
                <w:sz w:val="13"/>
                <w:u w:val="none"/>
                <w:vertAlign w:val="baseline"/>
              </w:rPr>
              <w:t>23</w:t>
            </w:r>
            <w:bookmarkStart w:id="308" w:name="XBRL_CE_f944b1f7606b4f3097bfddf10453e86d"/>
            <w:bookmarkEnd w:id="307"/>
            <w:bookmarkEnd w:id="308"/>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6.4.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investments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09" w:name="XBRL_CS_9971754c40f04a70b0328a84a3e3d33e"/>
            <w:bookmarkEnd w:id="309"/>
            <w:bookmarkStart w:id="310" w:name="9971754c40f04a70b0328a84a3e3d33e"/>
            <w:r>
              <w:rPr>
                <w:rFonts w:ascii="Arial" w:eastAsia="Arial" w:hAnsi="Arial" w:cs="Arial"/>
                <w:b/>
                <w:i w:val="0"/>
                <w:strike w:val="0"/>
                <w:color w:val="000000"/>
                <w:sz w:val="13"/>
                <w:u w:val="none"/>
                <w:vertAlign w:val="baseline"/>
              </w:rPr>
              <w:t>18</w:t>
            </w:r>
            <w:bookmarkStart w:id="311" w:name="XBRL_CE_9971754c40f04a70b0328a84a3e3d33e"/>
            <w:bookmarkEnd w:id="310"/>
            <w:bookmarkEnd w:id="311"/>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12" w:name="XBRL_CS_1f917950e0b147dbaaa9cff829af1b23"/>
            <w:bookmarkEnd w:id="312"/>
            <w:bookmarkStart w:id="313" w:name="1f917950e0b147dbaaa9cff829af1b23"/>
            <w:r>
              <w:rPr>
                <w:rFonts w:ascii="Arial" w:eastAsia="Arial" w:hAnsi="Arial" w:cs="Arial"/>
                <w:b w:val="0"/>
                <w:i w:val="0"/>
                <w:strike w:val="0"/>
                <w:color w:val="000000"/>
                <w:sz w:val="13"/>
                <w:u w:val="none"/>
                <w:vertAlign w:val="baseline"/>
              </w:rPr>
              <w:t>19</w:t>
            </w:r>
            <w:bookmarkStart w:id="314" w:name="XBRL_CE_1f917950e0b147dbaaa9cff829af1b23"/>
            <w:bookmarkEnd w:id="313"/>
            <w:bookmarkEnd w:id="314"/>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investments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15" w:name="XBRL_CS_6fd43ad231ae4a6eabc82272c287c141"/>
            <w:bookmarkEnd w:id="315"/>
            <w:bookmarkStart w:id="316" w:name="6fd43ad231ae4a6eabc82272c287c141"/>
            <w:r>
              <w:rPr>
                <w:rFonts w:ascii="Arial" w:eastAsia="Arial" w:hAnsi="Arial" w:cs="Arial"/>
                <w:b/>
                <w:i w:val="0"/>
                <w:strike w:val="0"/>
                <w:color w:val="000000"/>
                <w:sz w:val="13"/>
                <w:u w:val="none"/>
                <w:vertAlign w:val="baseline"/>
              </w:rPr>
              <w:t>5</w:t>
            </w:r>
            <w:bookmarkStart w:id="317" w:name="XBRL_CE_6fd43ad231ae4a6eabc82272c287c141"/>
            <w:bookmarkEnd w:id="316"/>
            <w:bookmarkEnd w:id="317"/>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18" w:name="XBRL_CS_ec4e39dfedc342a18ada0743fed125e0"/>
            <w:bookmarkEnd w:id="318"/>
            <w:bookmarkStart w:id="319" w:name="ec4e39dfedc342a18ada0743fed125e0"/>
            <w:r>
              <w:rPr>
                <w:rFonts w:ascii="Arial" w:eastAsia="Arial" w:hAnsi="Arial" w:cs="Arial"/>
                <w:b w:val="0"/>
                <w:i w:val="0"/>
                <w:strike w:val="0"/>
                <w:color w:val="000000"/>
                <w:sz w:val="13"/>
                <w:u w:val="none"/>
                <w:vertAlign w:val="baseline"/>
              </w:rPr>
              <w:t>1</w:t>
            </w:r>
            <w:bookmarkStart w:id="320" w:name="XBRL_CE_ec4e39dfedc342a18ada0743fed125e0"/>
            <w:bookmarkEnd w:id="319"/>
            <w:bookmarkEnd w:id="320"/>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Deferred tax assets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21" w:name="XBRL_CS_2f9c0626144c45718e560fc20cf2245a"/>
            <w:bookmarkEnd w:id="321"/>
            <w:bookmarkStart w:id="322" w:name="2f9c0626144c45718e560fc20cf2245a"/>
            <w:r>
              <w:rPr>
                <w:rFonts w:ascii="Arial" w:eastAsia="Arial" w:hAnsi="Arial" w:cs="Arial"/>
                <w:b/>
                <w:i w:val="0"/>
                <w:strike w:val="0"/>
                <w:color w:val="000000"/>
                <w:sz w:val="13"/>
                <w:u w:val="none"/>
                <w:vertAlign w:val="baseline"/>
              </w:rPr>
              <w:t>167</w:t>
            </w:r>
            <w:bookmarkStart w:id="323" w:name="XBRL_CE_2f9c0626144c45718e560fc20cf2245a"/>
            <w:bookmarkEnd w:id="322"/>
            <w:bookmarkEnd w:id="323"/>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24" w:name="XBRL_CS_7ea0b9b88b3b48d4902154b491eec1d1"/>
            <w:bookmarkEnd w:id="324"/>
            <w:bookmarkStart w:id="325" w:name="7ea0b9b88b3b48d4902154b491eec1d1"/>
            <w:r>
              <w:rPr>
                <w:rFonts w:ascii="Arial" w:eastAsia="Arial" w:hAnsi="Arial" w:cs="Arial"/>
                <w:b w:val="0"/>
                <w:i w:val="0"/>
                <w:strike w:val="0"/>
                <w:color w:val="000000"/>
                <w:sz w:val="13"/>
                <w:u w:val="none"/>
                <w:vertAlign w:val="baseline"/>
              </w:rPr>
              <w:t>183</w:t>
            </w:r>
            <w:bookmarkStart w:id="326" w:name="XBRL_CE_7ea0b9b88b3b48d4902154b491eec1d1"/>
            <w:bookmarkEnd w:id="325"/>
            <w:bookmarkEnd w:id="326"/>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receivables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27" w:name="XBRL_CS_cbf7d8ff841f49d6a668e622577c3a2a"/>
            <w:bookmarkEnd w:id="327"/>
            <w:bookmarkStart w:id="328" w:name="cbf7d8ff841f49d6a668e622577c3a2a"/>
            <w:r>
              <w:rPr>
                <w:rFonts w:ascii="Arial" w:eastAsia="Arial" w:hAnsi="Arial" w:cs="Arial"/>
                <w:b/>
                <w:i w:val="0"/>
                <w:strike w:val="0"/>
                <w:color w:val="000000"/>
                <w:sz w:val="13"/>
                <w:u w:val="none"/>
                <w:vertAlign w:val="baseline"/>
              </w:rPr>
              <w:t>26</w:t>
            </w:r>
            <w:bookmarkStart w:id="329" w:name="XBRL_CE_cbf7d8ff841f49d6a668e622577c3a2a"/>
            <w:bookmarkEnd w:id="328"/>
            <w:bookmarkEnd w:id="329"/>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30" w:name="XBRL_CS_f1f1d84bb385469585c21f4d6d39de34"/>
            <w:bookmarkEnd w:id="330"/>
            <w:bookmarkStart w:id="331" w:name="f1f1d84bb385469585c21f4d6d39de34"/>
            <w:r>
              <w:rPr>
                <w:rFonts w:ascii="Arial" w:eastAsia="Arial" w:hAnsi="Arial" w:cs="Arial"/>
                <w:b w:val="0"/>
                <w:i w:val="0"/>
                <w:strike w:val="0"/>
                <w:color w:val="000000"/>
                <w:sz w:val="13"/>
                <w:u w:val="none"/>
                <w:vertAlign w:val="baseline"/>
              </w:rPr>
              <w:t>30</w:t>
            </w:r>
            <w:bookmarkStart w:id="332" w:name="XBRL_CE_f1f1d84bb385469585c21f4d6d39de34"/>
            <w:bookmarkEnd w:id="331"/>
            <w:bookmarkEnd w:id="332"/>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4.2., 5.2.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receivables</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33" w:name="XBRL_CS_06d02308ba5145a1ab018195c87a0a6c"/>
            <w:bookmarkEnd w:id="333"/>
            <w:bookmarkStart w:id="334" w:name="06d02308ba5145a1ab018195c87a0a6c"/>
            <w:r>
              <w:rPr>
                <w:rFonts w:ascii="Arial" w:eastAsia="Arial" w:hAnsi="Arial" w:cs="Arial"/>
                <w:b/>
                <w:i w:val="0"/>
                <w:strike w:val="0"/>
                <w:color w:val="000000"/>
                <w:sz w:val="13"/>
                <w:u w:val="none"/>
                <w:vertAlign w:val="baseline"/>
              </w:rPr>
              <w:t>17</w:t>
            </w:r>
            <w:bookmarkStart w:id="335" w:name="XBRL_CE_06d02308ba5145a1ab018195c87a0a6c"/>
            <w:bookmarkEnd w:id="334"/>
            <w:bookmarkEnd w:id="335"/>
          </w:p>
        </w:tc>
        <w:tc>
          <w:tcPr>
            <w:tcW w:w="120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36" w:name="XBRL_CS_ea717f5c7a064db288b09534f3d7784c"/>
            <w:bookmarkEnd w:id="336"/>
            <w:bookmarkStart w:id="337" w:name="ea717f5c7a064db288b09534f3d7784c"/>
            <w:r>
              <w:rPr>
                <w:rFonts w:ascii="Arial" w:eastAsia="Arial" w:hAnsi="Arial" w:cs="Arial"/>
                <w:b w:val="0"/>
                <w:i w:val="0"/>
                <w:strike w:val="0"/>
                <w:color w:val="000000"/>
                <w:sz w:val="13"/>
                <w:u w:val="none"/>
                <w:vertAlign w:val="baseline"/>
              </w:rPr>
              <w:t>11</w:t>
            </w:r>
            <w:bookmarkStart w:id="338" w:name="XBRL_CE_ea717f5c7a064db288b09534f3d7784c"/>
            <w:bookmarkEnd w:id="337"/>
            <w:bookmarkEnd w:id="338"/>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non-current assets</w:t>
            </w: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39" w:name="XBRL_CS_244a114da2b540d29f8b362a47ece9ef"/>
            <w:bookmarkEnd w:id="339"/>
            <w:bookmarkStart w:id="340" w:name="244a114da2b540d29f8b362a47ece9ef"/>
            <w:r>
              <w:rPr>
                <w:rFonts w:ascii="Arial" w:eastAsia="Arial" w:hAnsi="Arial" w:cs="Arial"/>
                <w:b/>
                <w:i w:val="0"/>
                <w:strike w:val="0"/>
                <w:color w:val="000000"/>
                <w:sz w:val="13"/>
                <w:u w:val="none"/>
                <w:vertAlign w:val="baseline"/>
              </w:rPr>
              <w:t>2,539</w:t>
            </w:r>
            <w:bookmarkStart w:id="341" w:name="XBRL_CE_244a114da2b540d29f8b362a47ece9ef"/>
            <w:bookmarkEnd w:id="340"/>
            <w:bookmarkEnd w:id="341"/>
          </w:p>
        </w:tc>
        <w:tc>
          <w:tcPr>
            <w:tcW w:w="120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42" w:name="XBRL_CS_f98b67a831954bccae371a84e428ae45"/>
            <w:bookmarkEnd w:id="342"/>
            <w:bookmarkStart w:id="343" w:name="f98b67a831954bccae371a84e428ae45"/>
            <w:r>
              <w:rPr>
                <w:rFonts w:ascii="Arial" w:eastAsia="Arial" w:hAnsi="Arial" w:cs="Arial"/>
                <w:b w:val="0"/>
                <w:i w:val="0"/>
                <w:strike w:val="0"/>
                <w:color w:val="000000"/>
                <w:sz w:val="13"/>
                <w:u w:val="none"/>
                <w:vertAlign w:val="baseline"/>
              </w:rPr>
              <w:t>2,427</w:t>
            </w:r>
            <w:bookmarkStart w:id="344" w:name="XBRL_CE_f98b67a831954bccae371a84e428ae45"/>
            <w:bookmarkEnd w:id="343"/>
            <w:bookmarkEnd w:id="344"/>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 assets</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Inventories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45" w:name="XBRL_CS_339e310003554a5da2088aa384133be1"/>
            <w:bookmarkEnd w:id="345"/>
            <w:bookmarkStart w:id="346" w:name="339e310003554a5da2088aa384133be1"/>
            <w:r>
              <w:rPr>
                <w:rFonts w:ascii="Arial" w:eastAsia="Arial" w:hAnsi="Arial" w:cs="Arial"/>
                <w:b/>
                <w:i w:val="0"/>
                <w:strike w:val="0"/>
                <w:color w:val="000000"/>
                <w:sz w:val="13"/>
                <w:u w:val="none"/>
                <w:vertAlign w:val="baseline"/>
              </w:rPr>
              <w:t>1,185</w:t>
            </w:r>
            <w:bookmarkStart w:id="347" w:name="XBRL_CE_339e310003554a5da2088aa384133be1"/>
            <w:bookmarkEnd w:id="346"/>
            <w:bookmarkEnd w:id="347"/>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48" w:name="XBRL_CS_236ee9bd064a4fad9978f83a2702bdaa"/>
            <w:bookmarkEnd w:id="348"/>
            <w:bookmarkStart w:id="349" w:name="236ee9bd064a4fad9978f83a2702bdaa"/>
            <w:r>
              <w:rPr>
                <w:rFonts w:ascii="Arial" w:eastAsia="Arial" w:hAnsi="Arial" w:cs="Arial"/>
                <w:b w:val="0"/>
                <w:i w:val="0"/>
                <w:strike w:val="0"/>
                <w:color w:val="000000"/>
                <w:sz w:val="13"/>
                <w:u w:val="none"/>
                <w:vertAlign w:val="baseline"/>
              </w:rPr>
              <w:t>1,192</w:t>
            </w:r>
            <w:bookmarkStart w:id="350" w:name="XBRL_CE_236ee9bd064a4fad9978f83a2702bdaa"/>
            <w:bookmarkEnd w:id="349"/>
            <w:bookmarkEnd w:id="350"/>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receivables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51" w:name="XBRL_CS_7a8c95a0654e4c00830c99f2ec028035"/>
            <w:bookmarkEnd w:id="351"/>
            <w:bookmarkStart w:id="352" w:name="7a8c95a0654e4c00830c99f2ec028035"/>
            <w:r>
              <w:rPr>
                <w:rFonts w:ascii="Arial" w:eastAsia="Arial" w:hAnsi="Arial" w:cs="Arial"/>
                <w:b/>
                <w:i w:val="0"/>
                <w:strike w:val="0"/>
                <w:color w:val="000000"/>
                <w:sz w:val="13"/>
                <w:u w:val="none"/>
                <w:vertAlign w:val="baseline"/>
              </w:rPr>
              <w:t>870</w:t>
            </w:r>
            <w:bookmarkStart w:id="353" w:name="XBRL_CE_7a8c95a0654e4c00830c99f2ec028035"/>
            <w:bookmarkEnd w:id="352"/>
            <w:bookmarkEnd w:id="353"/>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54" w:name="XBRL_CS_9e49c30330e349d69b5187118ebcd6d1"/>
            <w:bookmarkEnd w:id="354"/>
            <w:bookmarkStart w:id="355" w:name="9e49c30330e349d69b5187118ebcd6d1"/>
            <w:r>
              <w:rPr>
                <w:rFonts w:ascii="Arial" w:eastAsia="Arial" w:hAnsi="Arial" w:cs="Arial"/>
                <w:b w:val="0"/>
                <w:i w:val="0"/>
                <w:strike w:val="0"/>
                <w:color w:val="000000"/>
                <w:sz w:val="13"/>
                <w:u w:val="none"/>
                <w:vertAlign w:val="baseline"/>
              </w:rPr>
              <w:t>922</w:t>
            </w:r>
            <w:bookmarkStart w:id="356" w:name="XBRL_CE_9e49c30330e349d69b5187118ebcd6d1"/>
            <w:bookmarkEnd w:id="355"/>
            <w:bookmarkEnd w:id="356"/>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4.2., 5.2.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Current tax receivables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57" w:name="XBRL_CS_4f0a01ba25d54afc80fc3feeac998474"/>
            <w:bookmarkEnd w:id="357"/>
            <w:bookmarkStart w:id="358" w:name="4f0a01ba25d54afc80fc3feeac998474"/>
            <w:r>
              <w:rPr>
                <w:rFonts w:ascii="Arial" w:eastAsia="Arial" w:hAnsi="Arial" w:cs="Arial"/>
                <w:b/>
                <w:i w:val="0"/>
                <w:strike w:val="0"/>
                <w:color w:val="000000"/>
                <w:sz w:val="13"/>
                <w:u w:val="none"/>
                <w:vertAlign w:val="baseline"/>
              </w:rPr>
              <w:t>33</w:t>
            </w:r>
            <w:bookmarkStart w:id="359" w:name="XBRL_CE_4f0a01ba25d54afc80fc3feeac998474"/>
            <w:bookmarkEnd w:id="358"/>
            <w:bookmarkEnd w:id="359"/>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60" w:name="XBRL_CS_3aceb53cefec4183afd4a12f10e24134"/>
            <w:bookmarkEnd w:id="360"/>
            <w:bookmarkStart w:id="361" w:name="3aceb53cefec4183afd4a12f10e24134"/>
            <w:r>
              <w:rPr>
                <w:rFonts w:ascii="Arial" w:eastAsia="Arial" w:hAnsi="Arial" w:cs="Arial"/>
                <w:b w:val="0"/>
                <w:i w:val="0"/>
                <w:strike w:val="0"/>
                <w:color w:val="000000"/>
                <w:sz w:val="13"/>
                <w:u w:val="none"/>
                <w:vertAlign w:val="baseline"/>
              </w:rPr>
              <w:t>27</w:t>
            </w:r>
            <w:bookmarkStart w:id="362" w:name="XBRL_CE_3aceb53cefec4183afd4a12f10e24134"/>
            <w:bookmarkEnd w:id="361"/>
            <w:bookmarkEnd w:id="362"/>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Contract assets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63" w:name="XBRL_CS_80fc78e92702477f979e1222c9247910"/>
            <w:bookmarkEnd w:id="363"/>
            <w:bookmarkStart w:id="364" w:name="80fc78e92702477f979e1222c9247910"/>
            <w:r>
              <w:rPr>
                <w:rFonts w:ascii="Arial" w:eastAsia="Arial" w:hAnsi="Arial" w:cs="Arial"/>
                <w:b/>
                <w:i w:val="0"/>
                <w:strike w:val="0"/>
                <w:color w:val="000000"/>
                <w:sz w:val="13"/>
                <w:u w:val="none"/>
                <w:vertAlign w:val="baseline"/>
              </w:rPr>
              <w:t>684</w:t>
            </w:r>
            <w:bookmarkStart w:id="365" w:name="XBRL_CE_80fc78e92702477f979e1222c9247910"/>
            <w:bookmarkEnd w:id="364"/>
            <w:bookmarkEnd w:id="365"/>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66" w:name="XBRL_CS_7af3eee53ad048708b6a155285880a20"/>
            <w:bookmarkEnd w:id="366"/>
            <w:bookmarkStart w:id="367" w:name="7af3eee53ad048708b6a155285880a20"/>
            <w:r>
              <w:rPr>
                <w:rFonts w:ascii="Arial" w:eastAsia="Arial" w:hAnsi="Arial" w:cs="Arial"/>
                <w:b w:val="0"/>
                <w:i w:val="0"/>
                <w:strike w:val="0"/>
                <w:color w:val="000000"/>
                <w:sz w:val="13"/>
                <w:u w:val="none"/>
                <w:vertAlign w:val="baseline"/>
              </w:rPr>
              <w:t>389</w:t>
            </w:r>
            <w:bookmarkStart w:id="368" w:name="XBRL_CE_7af3eee53ad048708b6a155285880a20"/>
            <w:bookmarkEnd w:id="367"/>
            <w:bookmarkEnd w:id="368"/>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receivables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69" w:name="XBRL_CS_b7640a67f9224850919e2b56d991b705"/>
            <w:bookmarkEnd w:id="369"/>
            <w:bookmarkStart w:id="370" w:name="b7640a67f9224850919e2b56d991b705"/>
            <w:r>
              <w:rPr>
                <w:rFonts w:ascii="Arial" w:eastAsia="Arial" w:hAnsi="Arial" w:cs="Arial"/>
                <w:b/>
                <w:i w:val="0"/>
                <w:strike w:val="0"/>
                <w:color w:val="000000"/>
                <w:sz w:val="13"/>
                <w:u w:val="none"/>
                <w:vertAlign w:val="baseline"/>
              </w:rPr>
              <w:t>246</w:t>
            </w:r>
            <w:bookmarkStart w:id="371" w:name="XBRL_CE_b7640a67f9224850919e2b56d991b705"/>
            <w:bookmarkEnd w:id="370"/>
            <w:bookmarkEnd w:id="371"/>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72" w:name="XBRL_CS_74de65f393814d84a0d88b8baaad0bfd"/>
            <w:bookmarkEnd w:id="372"/>
            <w:bookmarkStart w:id="373" w:name="74de65f393814d84a0d88b8baaad0bfd"/>
            <w:r>
              <w:rPr>
                <w:rFonts w:ascii="Arial" w:eastAsia="Arial" w:hAnsi="Arial" w:cs="Arial"/>
                <w:b w:val="0"/>
                <w:i w:val="0"/>
                <w:strike w:val="0"/>
                <w:color w:val="000000"/>
                <w:sz w:val="13"/>
                <w:u w:val="none"/>
                <w:vertAlign w:val="baseline"/>
              </w:rPr>
              <w:t>258</w:t>
            </w:r>
            <w:bookmarkStart w:id="374" w:name="XBRL_CE_74de65f393814d84a0d88b8baaad0bfd"/>
            <w:bookmarkEnd w:id="373"/>
            <w:bookmarkEnd w:id="374"/>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and cash equivalents</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75" w:name="XBRL_CS_8c103c7e517c4cbc9fdb40a129ffb362"/>
            <w:bookmarkEnd w:id="375"/>
            <w:bookmarkStart w:id="376" w:name="8c103c7e517c4cbc9fdb40a129ffb362"/>
            <w:r>
              <w:rPr>
                <w:rFonts w:ascii="Arial" w:eastAsia="Arial" w:hAnsi="Arial" w:cs="Arial"/>
                <w:b/>
                <w:i w:val="0"/>
                <w:strike w:val="0"/>
                <w:color w:val="000000"/>
                <w:sz w:val="13"/>
                <w:u w:val="none"/>
                <w:vertAlign w:val="baseline"/>
              </w:rPr>
              <w:t>964</w:t>
            </w:r>
            <w:bookmarkStart w:id="377" w:name="XBRL_CE_8c103c7e517c4cbc9fdb40a129ffb362"/>
            <w:bookmarkEnd w:id="376"/>
            <w:bookmarkEnd w:id="377"/>
          </w:p>
        </w:tc>
        <w:tc>
          <w:tcPr>
            <w:tcW w:w="120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78" w:name="XBRL_CS_2c3704c448fb40ad8cebdde2ceaad9ca"/>
            <w:bookmarkEnd w:id="378"/>
            <w:bookmarkStart w:id="379" w:name="2c3704c448fb40ad8cebdde2ceaad9ca"/>
            <w:r>
              <w:rPr>
                <w:rFonts w:ascii="Arial" w:eastAsia="Arial" w:hAnsi="Arial" w:cs="Arial"/>
                <w:b w:val="0"/>
                <w:i w:val="0"/>
                <w:strike w:val="0"/>
                <w:color w:val="000000"/>
                <w:sz w:val="13"/>
                <w:u w:val="none"/>
                <w:vertAlign w:val="baseline"/>
              </w:rPr>
              <w:t>919</w:t>
            </w:r>
            <w:bookmarkStart w:id="380" w:name="XBRL_CE_2c3704c448fb40ad8cebdde2ceaad9ca"/>
            <w:bookmarkEnd w:id="379"/>
            <w:bookmarkEnd w:id="380"/>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5.3., 5.4.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current assets</w:t>
            </w: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81" w:name="XBRL_CS_4776c672b2bf4a7f9113ec8fdd2e9d6e"/>
            <w:bookmarkEnd w:id="381"/>
            <w:bookmarkStart w:id="382" w:name="4776c672b2bf4a7f9113ec8fdd2e9d6e"/>
            <w:r>
              <w:rPr>
                <w:rFonts w:ascii="Arial" w:eastAsia="Arial" w:hAnsi="Arial" w:cs="Arial"/>
                <w:b/>
                <w:i w:val="0"/>
                <w:strike w:val="0"/>
                <w:color w:val="000000"/>
                <w:sz w:val="13"/>
                <w:u w:val="none"/>
                <w:vertAlign w:val="baseline"/>
              </w:rPr>
              <w:t>3,982</w:t>
            </w:r>
            <w:bookmarkStart w:id="383" w:name="XBRL_CE_4776c672b2bf4a7f9113ec8fdd2e9d6e"/>
            <w:bookmarkEnd w:id="382"/>
            <w:bookmarkEnd w:id="383"/>
          </w:p>
        </w:tc>
        <w:tc>
          <w:tcPr>
            <w:tcW w:w="120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84" w:name="XBRL_CS_a7726e88522f40ad9f922837c7f019d3"/>
            <w:bookmarkEnd w:id="384"/>
            <w:bookmarkStart w:id="385" w:name="a7726e88522f40ad9f922837c7f019d3"/>
            <w:r>
              <w:rPr>
                <w:rFonts w:ascii="Arial" w:eastAsia="Arial" w:hAnsi="Arial" w:cs="Arial"/>
                <w:b w:val="0"/>
                <w:i w:val="0"/>
                <w:strike w:val="0"/>
                <w:color w:val="000000"/>
                <w:sz w:val="13"/>
                <w:u w:val="none"/>
                <w:vertAlign w:val="baseline"/>
              </w:rPr>
              <w:t>3,706</w:t>
            </w:r>
            <w:bookmarkStart w:id="386" w:name="XBRL_CE_a7726e88522f40ad9f922837c7f019d3"/>
            <w:bookmarkEnd w:id="385"/>
            <w:bookmarkEnd w:id="386"/>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Assets held for sale</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87" w:name="XBRL_CS_246ab20c8b014999b6f66ce8cfd61463"/>
            <w:bookmarkEnd w:id="387"/>
            <w:bookmarkStart w:id="388" w:name="246ab20c8b014999b6f66ce8cfd61463"/>
            <w:r>
              <w:rPr>
                <w:rFonts w:ascii="Arial" w:eastAsia="Arial" w:hAnsi="Arial" w:cs="Arial"/>
                <w:b/>
                <w:i w:val="0"/>
                <w:strike w:val="0"/>
                <w:color w:val="000000"/>
                <w:sz w:val="13"/>
                <w:u w:val="none"/>
                <w:vertAlign w:val="baseline"/>
              </w:rPr>
              <w:t>2</w:t>
            </w:r>
            <w:bookmarkStart w:id="389" w:name="XBRL_CE_246ab20c8b014999b6f66ce8cfd61463"/>
            <w:bookmarkEnd w:id="388"/>
            <w:bookmarkEnd w:id="389"/>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90" w:name="XBRL_CS_55e1898d392d4442ac0637f42a049bc4"/>
            <w:bookmarkEnd w:id="390"/>
            <w:bookmarkStart w:id="391" w:name="55e1898d392d4442ac0637f42a049bc4"/>
            <w:r>
              <w:rPr>
                <w:rFonts w:ascii="Arial" w:eastAsia="Arial" w:hAnsi="Arial" w:cs="Arial"/>
                <w:b w:val="0"/>
                <w:i w:val="0"/>
                <w:strike w:val="0"/>
                <w:color w:val="000000"/>
                <w:sz w:val="13"/>
                <w:u w:val="none"/>
                <w:vertAlign w:val="baseline"/>
              </w:rPr>
              <w:t>99</w:t>
            </w:r>
            <w:bookmarkStart w:id="392" w:name="XBRL_CE_55e1898d392d4442ac0637f42a049bc4"/>
            <w:bookmarkEnd w:id="391"/>
            <w:bookmarkEnd w:id="392"/>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6.3.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assets</w:t>
            </w:r>
          </w:p>
        </w:tc>
        <w:tc>
          <w:tcPr>
            <w:tcW w:w="120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93" w:name="XBRL_CS_9fc2fa1332024cbfbe179b2ae23aa7ba"/>
            <w:bookmarkEnd w:id="393"/>
            <w:bookmarkStart w:id="394" w:name="9fc2fa1332024cbfbe179b2ae23aa7ba"/>
            <w:r>
              <w:rPr>
                <w:rFonts w:ascii="Arial" w:eastAsia="Arial" w:hAnsi="Arial" w:cs="Arial"/>
                <w:b/>
                <w:i w:val="0"/>
                <w:strike w:val="0"/>
                <w:color w:val="000000"/>
                <w:sz w:val="13"/>
                <w:u w:val="none"/>
                <w:vertAlign w:val="baseline"/>
              </w:rPr>
              <w:t>6,523</w:t>
            </w:r>
            <w:bookmarkStart w:id="395" w:name="XBRL_CE_9fc2fa1332024cbfbe179b2ae23aa7ba"/>
            <w:bookmarkEnd w:id="394"/>
            <w:bookmarkEnd w:id="395"/>
          </w:p>
        </w:tc>
        <w:tc>
          <w:tcPr>
            <w:tcW w:w="120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96" w:name="XBRL_CS_5dfb5b3a55f24922bdb88d8bc7776c95"/>
            <w:bookmarkEnd w:id="396"/>
            <w:bookmarkStart w:id="397" w:name="5dfb5b3a55f24922bdb88d8bc7776c95"/>
            <w:r>
              <w:rPr>
                <w:rFonts w:ascii="Arial" w:eastAsia="Arial" w:hAnsi="Arial" w:cs="Arial"/>
                <w:b w:val="0"/>
                <w:i w:val="0"/>
                <w:strike w:val="0"/>
                <w:color w:val="000000"/>
                <w:sz w:val="13"/>
                <w:u w:val="none"/>
                <w:vertAlign w:val="baseline"/>
              </w:rPr>
              <w:t>6,232</w:t>
            </w:r>
            <w:bookmarkStart w:id="398" w:name="XBRL_CE_5dfb5b3a55f24922bdb88d8bc7776c95"/>
            <w:bookmarkEnd w:id="397"/>
            <w:bookmarkEnd w:id="398"/>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Equity and liabilities</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Equity</w:t>
            </w:r>
          </w:p>
        </w:tc>
        <w:tc>
          <w:tcPr>
            <w:tcW w:w="1200"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Share capital</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99" w:name="XBRL_CS_3bc899d7607148daae2dbf8d566769f6"/>
            <w:bookmarkEnd w:id="399"/>
            <w:bookmarkStart w:id="400" w:name="3bc899d7607148daae2dbf8d566769f6"/>
            <w:r>
              <w:rPr>
                <w:rFonts w:ascii="Arial" w:eastAsia="Arial" w:hAnsi="Arial" w:cs="Arial"/>
                <w:b/>
                <w:i w:val="0"/>
                <w:strike w:val="0"/>
                <w:color w:val="000000"/>
                <w:sz w:val="13"/>
                <w:u w:val="none"/>
                <w:vertAlign w:val="baseline"/>
              </w:rPr>
              <w:t>336</w:t>
            </w:r>
            <w:bookmarkStart w:id="401" w:name="XBRL_CE_3bc899d7607148daae2dbf8d566769f6"/>
            <w:bookmarkEnd w:id="400"/>
            <w:bookmarkEnd w:id="401"/>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02" w:name="XBRL_CS_8d3849ea820346808860bd0eee3a231e"/>
            <w:bookmarkEnd w:id="402"/>
            <w:bookmarkStart w:id="403" w:name="8d3849ea820346808860bd0eee3a231e"/>
            <w:r>
              <w:rPr>
                <w:rFonts w:ascii="Arial" w:eastAsia="Arial" w:hAnsi="Arial" w:cs="Arial"/>
                <w:b w:val="0"/>
                <w:i w:val="0"/>
                <w:strike w:val="0"/>
                <w:color w:val="000000"/>
                <w:sz w:val="13"/>
                <w:u w:val="none"/>
                <w:vertAlign w:val="baseline"/>
              </w:rPr>
              <w:t>336</w:t>
            </w:r>
            <w:bookmarkStart w:id="404" w:name="XBRL_CE_8d3849ea820346808860bd0eee3a231e"/>
            <w:bookmarkEnd w:id="403"/>
            <w:bookmarkEnd w:id="404"/>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Share premium</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05" w:name="XBRL_CS_b54bc3ec57be4c709f8f063fbd0743ee"/>
            <w:bookmarkEnd w:id="405"/>
            <w:bookmarkStart w:id="406" w:name="b54bc3ec57be4c709f8f063fbd0743ee"/>
            <w:r>
              <w:rPr>
                <w:rFonts w:ascii="Arial" w:eastAsia="Arial" w:hAnsi="Arial" w:cs="Arial"/>
                <w:b/>
                <w:i w:val="0"/>
                <w:strike w:val="0"/>
                <w:color w:val="000000"/>
                <w:sz w:val="13"/>
                <w:u w:val="none"/>
                <w:vertAlign w:val="baseline"/>
              </w:rPr>
              <w:t>61</w:t>
            </w:r>
            <w:bookmarkStart w:id="407" w:name="XBRL_CE_b54bc3ec57be4c709f8f063fbd0743ee"/>
            <w:bookmarkEnd w:id="406"/>
            <w:bookmarkEnd w:id="407"/>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08" w:name="XBRL_CS_90b0b006be59491883bf9b911fdcada8"/>
            <w:bookmarkEnd w:id="408"/>
            <w:bookmarkStart w:id="409" w:name="90b0b006be59491883bf9b911fdcada8"/>
            <w:r>
              <w:rPr>
                <w:rFonts w:ascii="Arial" w:eastAsia="Arial" w:hAnsi="Arial" w:cs="Arial"/>
                <w:b w:val="0"/>
                <w:i w:val="0"/>
                <w:strike w:val="0"/>
                <w:color w:val="000000"/>
                <w:sz w:val="13"/>
                <w:u w:val="none"/>
                <w:vertAlign w:val="baseline"/>
              </w:rPr>
              <w:t>61</w:t>
            </w:r>
            <w:bookmarkStart w:id="410" w:name="XBRL_CE_90b0b006be59491883bf9b911fdcada8"/>
            <w:bookmarkEnd w:id="409"/>
            <w:bookmarkEnd w:id="410"/>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Translation differences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11" w:name="XBRL_CS_9dd56de54cfe4b41bfc75dd037ff2eeb"/>
            <w:bookmarkEnd w:id="411"/>
            <w:bookmarkStart w:id="412" w:name="9dd56de54cfe4b41bfc75dd037ff2eeb"/>
            <w:r>
              <w:rPr>
                <w:rFonts w:ascii="Arial" w:eastAsia="Arial" w:hAnsi="Arial" w:cs="Arial"/>
                <w:b/>
                <w:i w:val="0"/>
                <w:strike w:val="0"/>
                <w:color w:val="000000"/>
                <w:sz w:val="13"/>
                <w:u w:val="none"/>
                <w:vertAlign w:val="baseline"/>
              </w:rPr>
              <w:t>-122</w:t>
            </w:r>
            <w:bookmarkStart w:id="413" w:name="XBRL_CE_9dd56de54cfe4b41bfc75dd037ff2eeb"/>
            <w:bookmarkEnd w:id="412"/>
            <w:bookmarkEnd w:id="413"/>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14" w:name="XBRL_CS_2fe0d9eb3c8a449d9c6f28e93cd457c4"/>
            <w:bookmarkEnd w:id="414"/>
            <w:bookmarkStart w:id="415" w:name="2fe0d9eb3c8a449d9c6f28e93cd457c4"/>
            <w:r>
              <w:rPr>
                <w:rFonts w:ascii="Arial" w:eastAsia="Arial" w:hAnsi="Arial" w:cs="Arial"/>
                <w:b w:val="0"/>
                <w:i w:val="0"/>
                <w:strike w:val="0"/>
                <w:color w:val="000000"/>
                <w:sz w:val="13"/>
                <w:u w:val="none"/>
                <w:vertAlign w:val="baseline"/>
              </w:rPr>
              <w:t>-197</w:t>
            </w:r>
            <w:bookmarkStart w:id="416" w:name="XBRL_CE_2fe0d9eb3c8a449d9c6f28e93cd457c4"/>
            <w:bookmarkEnd w:id="415"/>
            <w:bookmarkEnd w:id="416"/>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Fair value reserve</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17" w:name="XBRL_CS_f27a551d4aac4f068a06485e1cfdd206"/>
            <w:bookmarkEnd w:id="417"/>
            <w:bookmarkStart w:id="418" w:name="f27a551d4aac4f068a06485e1cfdd206"/>
            <w:r>
              <w:rPr>
                <w:rFonts w:ascii="Arial" w:eastAsia="Arial" w:hAnsi="Arial" w:cs="Arial"/>
                <w:b/>
                <w:i w:val="0"/>
                <w:strike w:val="0"/>
                <w:color w:val="000000"/>
                <w:sz w:val="13"/>
                <w:u w:val="none"/>
                <w:vertAlign w:val="baseline"/>
              </w:rPr>
              <w:t>-18</w:t>
            </w:r>
            <w:bookmarkStart w:id="419" w:name="XBRL_CE_f27a551d4aac4f068a06485e1cfdd206"/>
            <w:bookmarkEnd w:id="418"/>
            <w:bookmarkEnd w:id="419"/>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20" w:name="XBRL_CS_3f6f11238d684cc9958ed5640f20257b"/>
            <w:bookmarkEnd w:id="420"/>
            <w:bookmarkStart w:id="421" w:name="3f6f11238d684cc9958ed5640f20257b"/>
            <w:r>
              <w:rPr>
                <w:rFonts w:ascii="Arial" w:eastAsia="Arial" w:hAnsi="Arial" w:cs="Arial"/>
                <w:b w:val="0"/>
                <w:i w:val="0"/>
                <w:strike w:val="0"/>
                <w:color w:val="000000"/>
                <w:sz w:val="13"/>
                <w:u w:val="none"/>
                <w:vertAlign w:val="baseline"/>
              </w:rPr>
              <w:t>-9</w:t>
            </w:r>
            <w:bookmarkStart w:id="422" w:name="XBRL_CE_3f6f11238d684cc9958ed5640f20257b"/>
            <w:bookmarkEnd w:id="421"/>
            <w:bookmarkEnd w:id="422"/>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88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Remeasurements of defined benefit liabilities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23" w:name="XBRL_CS_878a7579ec114fa59a9fa909a5d7dd73"/>
            <w:bookmarkEnd w:id="423"/>
            <w:bookmarkStart w:id="424" w:name="878a7579ec114fa59a9fa909a5d7dd73"/>
            <w:r>
              <w:rPr>
                <w:rFonts w:ascii="Arial" w:eastAsia="Arial" w:hAnsi="Arial" w:cs="Arial"/>
                <w:b/>
                <w:i w:val="0"/>
                <w:strike w:val="0"/>
                <w:color w:val="000000"/>
                <w:sz w:val="13"/>
                <w:u w:val="none"/>
                <w:vertAlign w:val="baseline"/>
              </w:rPr>
              <w:t>-36</w:t>
            </w:r>
            <w:bookmarkStart w:id="425" w:name="XBRL_CE_878a7579ec114fa59a9fa909a5d7dd73"/>
            <w:bookmarkEnd w:id="424"/>
            <w:bookmarkEnd w:id="425"/>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26" w:name="XBRL_CS_8476ff2cafda4c8ab6cf12aa1b60e41c"/>
            <w:bookmarkEnd w:id="426"/>
            <w:bookmarkStart w:id="427" w:name="8476ff2cafda4c8ab6cf12aa1b60e41c"/>
            <w:r>
              <w:rPr>
                <w:rFonts w:ascii="Arial" w:eastAsia="Arial" w:hAnsi="Arial" w:cs="Arial"/>
                <w:b w:val="0"/>
                <w:i w:val="0"/>
                <w:strike w:val="0"/>
                <w:color w:val="000000"/>
                <w:sz w:val="13"/>
                <w:u w:val="none"/>
                <w:vertAlign w:val="baseline"/>
              </w:rPr>
              <w:t>-45</w:t>
            </w:r>
            <w:bookmarkStart w:id="428" w:name="XBRL_CE_8476ff2cafda4c8ab6cf12aa1b60e41c"/>
            <w:bookmarkEnd w:id="427"/>
            <w:bookmarkEnd w:id="428"/>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Retained earnings</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29" w:name="XBRL_CS_ffc8e2d3d9254add9d3b52468376e858"/>
            <w:bookmarkEnd w:id="429"/>
            <w:bookmarkStart w:id="430" w:name="ffc8e2d3d9254add9d3b52468376e858"/>
            <w:r>
              <w:rPr>
                <w:rFonts w:ascii="Arial" w:eastAsia="Arial" w:hAnsi="Arial" w:cs="Arial"/>
                <w:b/>
                <w:i w:val="0"/>
                <w:strike w:val="0"/>
                <w:color w:val="000000"/>
                <w:sz w:val="13"/>
                <w:u w:val="none"/>
                <w:vertAlign w:val="baseline"/>
              </w:rPr>
              <w:t>2,094</w:t>
            </w:r>
            <w:bookmarkStart w:id="431" w:name="XBRL_CE_ffc8e2d3d9254add9d3b52468376e858"/>
            <w:bookmarkEnd w:id="430"/>
            <w:bookmarkEnd w:id="431"/>
          </w:p>
        </w:tc>
        <w:tc>
          <w:tcPr>
            <w:tcW w:w="120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32" w:name="XBRL_CS_e2fa6735662844e7855370337921fa41"/>
            <w:bookmarkEnd w:id="432"/>
            <w:bookmarkStart w:id="433" w:name="e2fa6735662844e7855370337921fa41"/>
            <w:r>
              <w:rPr>
                <w:rFonts w:ascii="Arial" w:eastAsia="Arial" w:hAnsi="Arial" w:cs="Arial"/>
                <w:b w:val="0"/>
                <w:i w:val="0"/>
                <w:strike w:val="0"/>
                <w:color w:val="000000"/>
                <w:sz w:val="13"/>
                <w:u w:val="none"/>
                <w:vertAlign w:val="baseline"/>
              </w:rPr>
              <w:t>2,030</w:t>
            </w:r>
            <w:bookmarkStart w:id="434" w:name="XBRL_CE_e2fa6735662844e7855370337921fa41"/>
            <w:bookmarkEnd w:id="433"/>
            <w:bookmarkEnd w:id="434"/>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88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equity attributable to equity holders of the parent company</w:t>
            </w: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35" w:name="XBRL_CS_9fe422201bbf431988fb02f6f74336cd"/>
            <w:bookmarkEnd w:id="435"/>
            <w:bookmarkStart w:id="436" w:name="9fe422201bbf431988fb02f6f74336cd"/>
            <w:r>
              <w:rPr>
                <w:rFonts w:ascii="Arial" w:eastAsia="Arial" w:hAnsi="Arial" w:cs="Arial"/>
                <w:b/>
                <w:i w:val="0"/>
                <w:strike w:val="0"/>
                <w:color w:val="000000"/>
                <w:sz w:val="13"/>
                <w:u w:val="none"/>
                <w:vertAlign w:val="baseline"/>
              </w:rPr>
              <w:t>2,315</w:t>
            </w:r>
            <w:bookmarkStart w:id="437" w:name="XBRL_CE_9fe422201bbf431988fb02f6f74336cd"/>
            <w:bookmarkEnd w:id="436"/>
            <w:bookmarkEnd w:id="437"/>
          </w:p>
        </w:tc>
        <w:tc>
          <w:tcPr>
            <w:tcW w:w="120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38" w:name="XBRL_CS_2689bfd625af4e96962d50809b99c15a"/>
            <w:bookmarkEnd w:id="438"/>
            <w:bookmarkStart w:id="439" w:name="2689bfd625af4e96962d50809b99c15a"/>
            <w:r>
              <w:rPr>
                <w:rFonts w:ascii="Arial" w:eastAsia="Arial" w:hAnsi="Arial" w:cs="Arial"/>
                <w:b w:val="0"/>
                <w:i w:val="0"/>
                <w:strike w:val="0"/>
                <w:color w:val="000000"/>
                <w:sz w:val="13"/>
                <w:u w:val="none"/>
                <w:vertAlign w:val="baseline"/>
              </w:rPr>
              <w:t>2,177</w:t>
            </w:r>
            <w:bookmarkStart w:id="440" w:name="XBRL_CE_2689bfd625af4e96962d50809b99c15a"/>
            <w:bookmarkEnd w:id="439"/>
            <w:bookmarkEnd w:id="440"/>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Non-controlling interests</w:t>
            </w:r>
          </w:p>
        </w:tc>
        <w:tc>
          <w:tcPr>
            <w:tcW w:w="1200"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41" w:name="XBRL_CS_8a8a8846e96d469f8b5fffdabb4484e3"/>
            <w:bookmarkEnd w:id="441"/>
            <w:bookmarkStart w:id="442" w:name="8a8a8846e96d469f8b5fffdabb4484e3"/>
            <w:r>
              <w:rPr>
                <w:rFonts w:ascii="Arial" w:eastAsia="Arial" w:hAnsi="Arial" w:cs="Arial"/>
                <w:b/>
                <w:i w:val="0"/>
                <w:strike w:val="0"/>
                <w:color w:val="000000"/>
                <w:sz w:val="13"/>
                <w:u w:val="none"/>
                <w:vertAlign w:val="baseline"/>
              </w:rPr>
              <w:t>8</w:t>
            </w:r>
            <w:bookmarkStart w:id="443" w:name="XBRL_CE_8a8a8846e96d469f8b5fffdabb4484e3"/>
            <w:bookmarkEnd w:id="442"/>
            <w:bookmarkEnd w:id="443"/>
          </w:p>
        </w:tc>
        <w:tc>
          <w:tcPr>
            <w:tcW w:w="120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44" w:name="XBRL_CS_11cd934f96ea483495ba50f3cd813e8a"/>
            <w:bookmarkEnd w:id="444"/>
            <w:bookmarkStart w:id="445" w:name="11cd934f96ea483495ba50f3cd813e8a"/>
            <w:r>
              <w:rPr>
                <w:rFonts w:ascii="Arial" w:eastAsia="Arial" w:hAnsi="Arial" w:cs="Arial"/>
                <w:b w:val="0"/>
                <w:i w:val="0"/>
                <w:strike w:val="0"/>
                <w:color w:val="000000"/>
                <w:sz w:val="13"/>
                <w:u w:val="none"/>
                <w:vertAlign w:val="baseline"/>
              </w:rPr>
              <w:t>11</w:t>
            </w:r>
            <w:bookmarkStart w:id="446" w:name="XBRL_CE_11cd934f96ea483495ba50f3cd813e8a"/>
            <w:bookmarkEnd w:id="445"/>
            <w:bookmarkEnd w:id="446"/>
          </w:p>
        </w:tc>
        <w:tc>
          <w:tcPr>
            <w:tcW w:w="1080"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equity</w:t>
            </w:r>
          </w:p>
        </w:tc>
        <w:tc>
          <w:tcPr>
            <w:tcW w:w="120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47" w:name="XBRL_CS_8a50c570edec4a7fa55cd588c9be716c"/>
            <w:bookmarkEnd w:id="447"/>
            <w:bookmarkStart w:id="448" w:name="8a50c570edec4a7fa55cd588c9be716c"/>
            <w:r>
              <w:rPr>
                <w:rFonts w:ascii="Arial" w:eastAsia="Arial" w:hAnsi="Arial" w:cs="Arial"/>
                <w:b/>
                <w:i w:val="0"/>
                <w:strike w:val="0"/>
                <w:color w:val="000000"/>
                <w:sz w:val="13"/>
                <w:u w:val="none"/>
                <w:vertAlign w:val="baseline"/>
              </w:rPr>
              <w:t>2,323</w:t>
            </w:r>
            <w:bookmarkStart w:id="449" w:name="XBRL_CE_8a50c570edec4a7fa55cd588c9be716c"/>
            <w:bookmarkEnd w:id="448"/>
            <w:bookmarkEnd w:id="449"/>
          </w:p>
        </w:tc>
        <w:tc>
          <w:tcPr>
            <w:tcW w:w="120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50" w:name="XBRL_CS_224a8a4ba411458ca1a4a38f700324ad"/>
            <w:bookmarkEnd w:id="450"/>
            <w:bookmarkStart w:id="451" w:name="224a8a4ba411458ca1a4a38f700324ad"/>
            <w:r>
              <w:rPr>
                <w:rFonts w:ascii="Arial" w:eastAsia="Arial" w:hAnsi="Arial" w:cs="Arial"/>
                <w:b w:val="0"/>
                <w:i w:val="0"/>
                <w:strike w:val="0"/>
                <w:color w:val="000000"/>
                <w:sz w:val="13"/>
                <w:u w:val="none"/>
                <w:vertAlign w:val="baseline"/>
              </w:rPr>
              <w:t>2,188</w:t>
            </w:r>
            <w:bookmarkStart w:id="452" w:name="XBRL_CE_224a8a4ba411458ca1a4a38f700324ad"/>
            <w:bookmarkEnd w:id="451"/>
            <w:bookmarkEnd w:id="452"/>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Liabilities</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Non-current liabilities</w:t>
            </w:r>
          </w:p>
        </w:tc>
        <w:tc>
          <w:tcPr>
            <w:tcW w:w="1200"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Lease liabilities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53" w:name="XBRL_CS_b6fac93e237241ac8fe98b704a810798"/>
            <w:bookmarkEnd w:id="453"/>
            <w:bookmarkStart w:id="454" w:name="b6fac93e237241ac8fe98b704a810798"/>
            <w:r>
              <w:rPr>
                <w:rFonts w:ascii="Arial" w:eastAsia="Arial" w:hAnsi="Arial" w:cs="Arial"/>
                <w:b/>
                <w:i w:val="0"/>
                <w:strike w:val="0"/>
                <w:color w:val="000000"/>
                <w:sz w:val="13"/>
                <w:u w:val="none"/>
                <w:vertAlign w:val="baseline"/>
              </w:rPr>
              <w:t>157</w:t>
            </w:r>
            <w:bookmarkStart w:id="455" w:name="XBRL_CE_b6fac93e237241ac8fe98b704a810798"/>
            <w:bookmarkEnd w:id="454"/>
            <w:bookmarkEnd w:id="455"/>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56" w:name="XBRL_CS_9bfb162a50324e5faddcc92d34145ce1"/>
            <w:bookmarkEnd w:id="456"/>
            <w:bookmarkStart w:id="457" w:name="9bfb162a50324e5faddcc92d34145ce1"/>
            <w:r>
              <w:rPr>
                <w:rFonts w:ascii="Arial" w:eastAsia="Arial" w:hAnsi="Arial" w:cs="Arial"/>
                <w:b w:val="0"/>
                <w:i w:val="0"/>
                <w:strike w:val="0"/>
                <w:color w:val="000000"/>
                <w:sz w:val="13"/>
                <w:u w:val="none"/>
                <w:vertAlign w:val="baseline"/>
              </w:rPr>
              <w:t>124</w:t>
            </w:r>
            <w:bookmarkStart w:id="458" w:name="XBRL_CE_9bfb162a50324e5faddcc92d34145ce1"/>
            <w:bookmarkEnd w:id="457"/>
            <w:bookmarkEnd w:id="458"/>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3.4., 5.4.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interest-bearing debt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59" w:name="XBRL_CS_71b25d74a586425fab715f8425997cc7"/>
            <w:bookmarkEnd w:id="459"/>
            <w:bookmarkStart w:id="460" w:name="71b25d74a586425fab715f8425997cc7"/>
            <w:r>
              <w:rPr>
                <w:rFonts w:ascii="Arial" w:eastAsia="Arial" w:hAnsi="Arial" w:cs="Arial"/>
                <w:b/>
                <w:i w:val="0"/>
                <w:strike w:val="0"/>
                <w:color w:val="000000"/>
                <w:sz w:val="13"/>
                <w:u w:val="none"/>
                <w:vertAlign w:val="baseline"/>
              </w:rPr>
              <w:t>694</w:t>
            </w:r>
            <w:bookmarkStart w:id="461" w:name="XBRL_CE_71b25d74a586425fab715f8425997cc7"/>
            <w:bookmarkEnd w:id="460"/>
            <w:bookmarkEnd w:id="461"/>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62" w:name="XBRL_CS_8c38645497124ee5a7b62d38f95fb515"/>
            <w:bookmarkEnd w:id="462"/>
            <w:bookmarkStart w:id="463" w:name="8c38645497124ee5a7b62d38f95fb515"/>
            <w:r>
              <w:rPr>
                <w:rFonts w:ascii="Arial" w:eastAsia="Arial" w:hAnsi="Arial" w:cs="Arial"/>
                <w:b w:val="0"/>
                <w:i w:val="0"/>
                <w:strike w:val="0"/>
                <w:color w:val="000000"/>
                <w:sz w:val="13"/>
                <w:u w:val="none"/>
                <w:vertAlign w:val="baseline"/>
              </w:rPr>
              <w:t>1,005</w:t>
            </w:r>
            <w:bookmarkStart w:id="464" w:name="XBRL_CE_8c38645497124ee5a7b62d38f95fb515"/>
            <w:bookmarkEnd w:id="463"/>
            <w:bookmarkEnd w:id="464"/>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5.2., 5.4., 5.6.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Deferred tax liabilities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65" w:name="XBRL_CS_271a8442599c48238e302555822c32cb"/>
            <w:bookmarkEnd w:id="465"/>
            <w:bookmarkStart w:id="466" w:name="271a8442599c48238e302555822c32cb"/>
            <w:r>
              <w:rPr>
                <w:rFonts w:ascii="Arial" w:eastAsia="Arial" w:hAnsi="Arial" w:cs="Arial"/>
                <w:b/>
                <w:i w:val="0"/>
                <w:strike w:val="0"/>
                <w:color w:val="000000"/>
                <w:sz w:val="13"/>
                <w:u w:val="none"/>
                <w:vertAlign w:val="baseline"/>
              </w:rPr>
              <w:t>65</w:t>
            </w:r>
            <w:bookmarkStart w:id="467" w:name="XBRL_CE_271a8442599c48238e302555822c32cb"/>
            <w:bookmarkEnd w:id="466"/>
            <w:bookmarkEnd w:id="467"/>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68" w:name="XBRL_CS_0f7b1ea0befb4e5787bc47c54e24a17d"/>
            <w:bookmarkEnd w:id="468"/>
            <w:bookmarkStart w:id="469" w:name="0f7b1ea0befb4e5787bc47c54e24a17d"/>
            <w:r>
              <w:rPr>
                <w:rFonts w:ascii="Arial" w:eastAsia="Arial" w:hAnsi="Arial" w:cs="Arial"/>
                <w:b w:val="0"/>
                <w:i w:val="0"/>
                <w:strike w:val="0"/>
                <w:color w:val="000000"/>
                <w:sz w:val="13"/>
                <w:u w:val="none"/>
                <w:vertAlign w:val="baseline"/>
              </w:rPr>
              <w:t>76</w:t>
            </w:r>
            <w:bookmarkStart w:id="470" w:name="XBRL_CE_0f7b1ea0befb4e5787bc47c54e24a17d"/>
            <w:bookmarkEnd w:id="469"/>
            <w:bookmarkEnd w:id="470"/>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Pension obligations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71" w:name="XBRL_CS_e6a6c6ce69d04ef2803431ca24a12d93"/>
            <w:bookmarkEnd w:id="471"/>
            <w:bookmarkStart w:id="472" w:name="e6a6c6ce69d04ef2803431ca24a12d93"/>
            <w:r>
              <w:rPr>
                <w:rFonts w:ascii="Arial" w:eastAsia="Arial" w:hAnsi="Arial" w:cs="Arial"/>
                <w:b/>
                <w:i w:val="0"/>
                <w:strike w:val="0"/>
                <w:color w:val="000000"/>
                <w:sz w:val="13"/>
                <w:u w:val="none"/>
                <w:vertAlign w:val="baseline"/>
              </w:rPr>
              <w:t>126</w:t>
            </w:r>
            <w:bookmarkStart w:id="473" w:name="XBRL_CE_e6a6c6ce69d04ef2803431ca24a12d93"/>
            <w:bookmarkEnd w:id="472"/>
            <w:bookmarkEnd w:id="473"/>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74" w:name="XBRL_CS_b307dc3ebe8445ecaf434d087abc9edb"/>
            <w:bookmarkEnd w:id="474"/>
            <w:bookmarkStart w:id="475" w:name="b307dc3ebe8445ecaf434d087abc9edb"/>
            <w:r>
              <w:rPr>
                <w:rFonts w:ascii="Arial" w:eastAsia="Arial" w:hAnsi="Arial" w:cs="Arial"/>
                <w:b w:val="0"/>
                <w:i w:val="0"/>
                <w:strike w:val="0"/>
                <w:color w:val="000000"/>
                <w:sz w:val="13"/>
                <w:u w:val="none"/>
                <w:vertAlign w:val="baseline"/>
              </w:rPr>
              <w:t>139</w:t>
            </w:r>
            <w:bookmarkStart w:id="476" w:name="XBRL_CE_b307dc3ebe8445ecaf434d087abc9edb"/>
            <w:bookmarkEnd w:id="475"/>
            <w:bookmarkEnd w:id="476"/>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Provisions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77" w:name="XBRL_CS_777033d1158e45eb8c6422eb535549d9"/>
            <w:bookmarkEnd w:id="477"/>
            <w:bookmarkStart w:id="478" w:name="777033d1158e45eb8c6422eb535549d9"/>
            <w:r>
              <w:rPr>
                <w:rFonts w:ascii="Arial" w:eastAsia="Arial" w:hAnsi="Arial" w:cs="Arial"/>
                <w:b/>
                <w:i w:val="0"/>
                <w:strike w:val="0"/>
                <w:color w:val="000000"/>
                <w:sz w:val="13"/>
                <w:u w:val="none"/>
                <w:vertAlign w:val="baseline"/>
              </w:rPr>
              <w:t>73</w:t>
            </w:r>
            <w:bookmarkStart w:id="479" w:name="XBRL_CE_777033d1158e45eb8c6422eb535549d9"/>
            <w:bookmarkEnd w:id="478"/>
            <w:bookmarkEnd w:id="479"/>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80" w:name="XBRL_CS_54d1eea9f9e542caa6aca09a6c84745a"/>
            <w:bookmarkEnd w:id="480"/>
            <w:bookmarkStart w:id="481" w:name="54d1eea9f9e542caa6aca09a6c84745a"/>
            <w:r>
              <w:rPr>
                <w:rFonts w:ascii="Arial" w:eastAsia="Arial" w:hAnsi="Arial" w:cs="Arial"/>
                <w:b w:val="0"/>
                <w:i w:val="0"/>
                <w:strike w:val="0"/>
                <w:color w:val="000000"/>
                <w:sz w:val="13"/>
                <w:u w:val="none"/>
                <w:vertAlign w:val="baseline"/>
              </w:rPr>
              <w:t>55</w:t>
            </w:r>
            <w:bookmarkStart w:id="482" w:name="XBRL_CE_54d1eea9f9e542caa6aca09a6c84745a"/>
            <w:bookmarkEnd w:id="481"/>
            <w:bookmarkEnd w:id="482"/>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Contract liabilities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83" w:name="XBRL_CS_b939053a145047bd8276cd457ddbd177"/>
            <w:bookmarkEnd w:id="483"/>
            <w:bookmarkStart w:id="484" w:name="b939053a145047bd8276cd457ddbd177"/>
            <w:r>
              <w:rPr>
                <w:rFonts w:ascii="Arial" w:eastAsia="Arial" w:hAnsi="Arial" w:cs="Arial"/>
                <w:b/>
                <w:i w:val="0"/>
                <w:strike w:val="0"/>
                <w:color w:val="000000"/>
                <w:sz w:val="13"/>
                <w:u w:val="none"/>
                <w:vertAlign w:val="baseline"/>
              </w:rPr>
              <w:t>37</w:t>
            </w:r>
            <w:bookmarkStart w:id="485" w:name="XBRL_CE_b939053a145047bd8276cd457ddbd177"/>
            <w:bookmarkEnd w:id="484"/>
            <w:bookmarkEnd w:id="485"/>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86" w:name="XBRL_CS_9b630af7c9884aeda65308044fa13c04"/>
            <w:bookmarkEnd w:id="486"/>
            <w:bookmarkStart w:id="487" w:name="9b630af7c9884aeda65308044fa13c04"/>
            <w:r>
              <w:rPr>
                <w:rFonts w:ascii="Arial" w:eastAsia="Arial" w:hAnsi="Arial" w:cs="Arial"/>
                <w:b w:val="0"/>
                <w:i w:val="0"/>
                <w:strike w:val="0"/>
                <w:color w:val="000000"/>
                <w:sz w:val="13"/>
                <w:u w:val="none"/>
                <w:vertAlign w:val="baseline"/>
              </w:rPr>
              <w:t>51</w:t>
            </w:r>
            <w:bookmarkStart w:id="488" w:name="XBRL_CE_9b630af7c9884aeda65308044fa13c04"/>
            <w:bookmarkEnd w:id="487"/>
            <w:bookmarkEnd w:id="488"/>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liabilities</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89" w:name="XBRL_CS_dc890fdaeb084397b1f3d103ebe46e11"/>
            <w:bookmarkEnd w:id="489"/>
            <w:bookmarkStart w:id="490" w:name="dc890fdaeb084397b1f3d103ebe46e11"/>
            <w:r>
              <w:rPr>
                <w:rFonts w:ascii="Arial" w:eastAsia="Arial" w:hAnsi="Arial" w:cs="Arial"/>
                <w:b/>
                <w:i w:val="0"/>
                <w:strike w:val="0"/>
                <w:color w:val="000000"/>
                <w:sz w:val="13"/>
                <w:u w:val="none"/>
                <w:vertAlign w:val="baseline"/>
              </w:rPr>
              <w:t>1</w:t>
            </w:r>
            <w:bookmarkStart w:id="491" w:name="XBRL_CE_dc890fdaeb084397b1f3d103ebe46e11"/>
            <w:bookmarkEnd w:id="490"/>
            <w:bookmarkEnd w:id="491"/>
          </w:p>
        </w:tc>
        <w:tc>
          <w:tcPr>
            <w:tcW w:w="120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92" w:name="XBRL_CS_b39769f4ce1b46658f22602d7a5968bd"/>
            <w:bookmarkEnd w:id="492"/>
            <w:bookmarkStart w:id="493" w:name="b39769f4ce1b46658f22602d7a5968bd"/>
            <w:r>
              <w:rPr>
                <w:rFonts w:ascii="Arial" w:eastAsia="Arial" w:hAnsi="Arial" w:cs="Arial"/>
                <w:b w:val="0"/>
                <w:i w:val="0"/>
                <w:strike w:val="0"/>
                <w:color w:val="000000"/>
                <w:sz w:val="13"/>
                <w:u w:val="none"/>
                <w:vertAlign w:val="baseline"/>
              </w:rPr>
              <w:t>1</w:t>
            </w:r>
            <w:bookmarkStart w:id="494" w:name="XBRL_CE_b39769f4ce1b46658f22602d7a5968bd"/>
            <w:bookmarkEnd w:id="493"/>
            <w:bookmarkEnd w:id="494"/>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3.4., 4.4.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non-current liabilities</w:t>
            </w: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95" w:name="XBRL_CS_240d47c1ea6e4aa6939187fcdbf40a1c"/>
            <w:bookmarkEnd w:id="495"/>
            <w:bookmarkStart w:id="496" w:name="240d47c1ea6e4aa6939187fcdbf40a1c"/>
            <w:r>
              <w:rPr>
                <w:rFonts w:ascii="Arial" w:eastAsia="Arial" w:hAnsi="Arial" w:cs="Arial"/>
                <w:b/>
                <w:i w:val="0"/>
                <w:strike w:val="0"/>
                <w:color w:val="000000"/>
                <w:sz w:val="13"/>
                <w:u w:val="none"/>
                <w:vertAlign w:val="baseline"/>
              </w:rPr>
              <w:t>1,153</w:t>
            </w:r>
            <w:bookmarkStart w:id="497" w:name="XBRL_CE_240d47c1ea6e4aa6939187fcdbf40a1c"/>
            <w:bookmarkEnd w:id="496"/>
            <w:bookmarkEnd w:id="497"/>
          </w:p>
        </w:tc>
        <w:tc>
          <w:tcPr>
            <w:tcW w:w="120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98" w:name="XBRL_CS_3561da5bb52241908b97d1fa405962a3"/>
            <w:bookmarkEnd w:id="498"/>
            <w:bookmarkStart w:id="499" w:name="3561da5bb52241908b97d1fa405962a3"/>
            <w:r>
              <w:rPr>
                <w:rFonts w:ascii="Arial" w:eastAsia="Arial" w:hAnsi="Arial" w:cs="Arial"/>
                <w:b w:val="0"/>
                <w:i w:val="0"/>
                <w:strike w:val="0"/>
                <w:color w:val="000000"/>
                <w:sz w:val="13"/>
                <w:u w:val="none"/>
                <w:vertAlign w:val="baseline"/>
              </w:rPr>
              <w:t>1,451</w:t>
            </w:r>
            <w:bookmarkStart w:id="500" w:name="XBRL_CE_3561da5bb52241908b97d1fa405962a3"/>
            <w:bookmarkEnd w:id="499"/>
            <w:bookmarkEnd w:id="500"/>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 liabilities</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Lease liabilities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01" w:name="XBRL_CS_34f5d36e877c4fd48fc9f12480103643"/>
            <w:bookmarkEnd w:id="501"/>
            <w:bookmarkStart w:id="502" w:name="34f5d36e877c4fd48fc9f12480103643"/>
            <w:r>
              <w:rPr>
                <w:rFonts w:ascii="Arial" w:eastAsia="Arial" w:hAnsi="Arial" w:cs="Arial"/>
                <w:b/>
                <w:i w:val="0"/>
                <w:strike w:val="0"/>
                <w:color w:val="000000"/>
                <w:sz w:val="13"/>
                <w:u w:val="none"/>
                <w:vertAlign w:val="baseline"/>
              </w:rPr>
              <w:t>39</w:t>
            </w:r>
            <w:bookmarkStart w:id="503" w:name="XBRL_CE_34f5d36e877c4fd48fc9f12480103643"/>
            <w:bookmarkEnd w:id="502"/>
            <w:bookmarkEnd w:id="503"/>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04" w:name="XBRL_CS_941b4c463b5448869ee82c85e694065f"/>
            <w:bookmarkEnd w:id="504"/>
            <w:bookmarkStart w:id="505" w:name="941b4c463b5448869ee82c85e694065f"/>
            <w:r>
              <w:rPr>
                <w:rFonts w:ascii="Arial" w:eastAsia="Arial" w:hAnsi="Arial" w:cs="Arial"/>
                <w:b w:val="0"/>
                <w:i w:val="0"/>
                <w:strike w:val="0"/>
                <w:color w:val="000000"/>
                <w:sz w:val="13"/>
                <w:u w:val="none"/>
                <w:vertAlign w:val="baseline"/>
              </w:rPr>
              <w:t>42</w:t>
            </w:r>
            <w:bookmarkStart w:id="506" w:name="XBRL_CE_941b4c463b5448869ee82c85e694065f"/>
            <w:bookmarkEnd w:id="505"/>
            <w:bookmarkEnd w:id="506"/>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3.4., 5.4.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interest-bearing debt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07" w:name="XBRL_CS_5c6faf720c2c4bfc8dfeb42143786563"/>
            <w:bookmarkEnd w:id="507"/>
            <w:bookmarkStart w:id="508" w:name="5c6faf720c2c4bfc8dfeb42143786563"/>
            <w:r>
              <w:rPr>
                <w:rFonts w:ascii="Arial" w:eastAsia="Arial" w:hAnsi="Arial" w:cs="Arial"/>
                <w:b/>
                <w:i w:val="0"/>
                <w:strike w:val="0"/>
                <w:color w:val="000000"/>
                <w:sz w:val="13"/>
                <w:u w:val="none"/>
                <w:vertAlign w:val="baseline"/>
              </w:rPr>
              <w:t>82</w:t>
            </w:r>
            <w:bookmarkStart w:id="509" w:name="XBRL_CE_5c6faf720c2c4bfc8dfeb42143786563"/>
            <w:bookmarkEnd w:id="508"/>
            <w:bookmarkEnd w:id="509"/>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10" w:name="XBRL_CS_cbd3c5baee7044b590412e534d4255f7"/>
            <w:bookmarkEnd w:id="510"/>
            <w:bookmarkStart w:id="511" w:name="cbd3c5baee7044b590412e534d4255f7"/>
            <w:r>
              <w:rPr>
                <w:rFonts w:ascii="Arial" w:eastAsia="Arial" w:hAnsi="Arial" w:cs="Arial"/>
                <w:b w:val="0"/>
                <w:i w:val="0"/>
                <w:strike w:val="0"/>
                <w:color w:val="000000"/>
                <w:sz w:val="13"/>
                <w:u w:val="none"/>
                <w:vertAlign w:val="baseline"/>
              </w:rPr>
              <w:t>156</w:t>
            </w:r>
            <w:bookmarkStart w:id="512" w:name="XBRL_CE_cbd3c5baee7044b590412e534d4255f7"/>
            <w:bookmarkEnd w:id="511"/>
            <w:bookmarkEnd w:id="512"/>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5.2., 5.4., 5.6.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Provisions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13" w:name="XBRL_CS_c0ce1666931b49b296e669b81ce4f76b"/>
            <w:bookmarkEnd w:id="513"/>
            <w:bookmarkStart w:id="514" w:name="c0ce1666931b49b296e669b81ce4f76b"/>
            <w:r>
              <w:rPr>
                <w:rFonts w:ascii="Arial" w:eastAsia="Arial" w:hAnsi="Arial" w:cs="Arial"/>
                <w:b/>
                <w:i w:val="0"/>
                <w:strike w:val="0"/>
                <w:color w:val="000000"/>
                <w:sz w:val="13"/>
                <w:u w:val="none"/>
                <w:vertAlign w:val="baseline"/>
              </w:rPr>
              <w:t>241</w:t>
            </w:r>
            <w:bookmarkStart w:id="515" w:name="XBRL_CE_c0ce1666931b49b296e669b81ce4f76b"/>
            <w:bookmarkEnd w:id="514"/>
            <w:bookmarkEnd w:id="515"/>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16" w:name="XBRL_CS_75bafc38d69e458bb697d45fdbc08d18"/>
            <w:bookmarkEnd w:id="516"/>
            <w:bookmarkStart w:id="517" w:name="75bafc38d69e458bb697d45fdbc08d18"/>
            <w:r>
              <w:rPr>
                <w:rFonts w:ascii="Arial" w:eastAsia="Arial" w:hAnsi="Arial" w:cs="Arial"/>
                <w:b w:val="0"/>
                <w:i w:val="0"/>
                <w:strike w:val="0"/>
                <w:color w:val="000000"/>
                <w:sz w:val="13"/>
                <w:u w:val="none"/>
                <w:vertAlign w:val="baseline"/>
              </w:rPr>
              <w:t>269</w:t>
            </w:r>
            <w:bookmarkStart w:id="518" w:name="XBRL_CE_75bafc38d69e458bb697d45fdbc08d18"/>
            <w:bookmarkEnd w:id="517"/>
            <w:bookmarkEnd w:id="518"/>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payables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19" w:name="XBRL_CS_dc6b948af0a94635a4b02f56a26df416"/>
            <w:bookmarkEnd w:id="519"/>
            <w:bookmarkStart w:id="520" w:name="dc6b948af0a94635a4b02f56a26df416"/>
            <w:r>
              <w:rPr>
                <w:rFonts w:ascii="Arial" w:eastAsia="Arial" w:hAnsi="Arial" w:cs="Arial"/>
                <w:b/>
                <w:i w:val="0"/>
                <w:strike w:val="0"/>
                <w:color w:val="000000"/>
                <w:sz w:val="13"/>
                <w:u w:val="none"/>
                <w:vertAlign w:val="baseline"/>
              </w:rPr>
              <w:t>714</w:t>
            </w:r>
            <w:bookmarkStart w:id="521" w:name="XBRL_CE_dc6b948af0a94635a4b02f56a26df416"/>
            <w:bookmarkEnd w:id="520"/>
            <w:bookmarkEnd w:id="521"/>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22" w:name="XBRL_CS_33326b8a1ee44facb7f4a14b70297343"/>
            <w:bookmarkEnd w:id="522"/>
            <w:bookmarkStart w:id="523" w:name="33326b8a1ee44facb7f4a14b70297343"/>
            <w:r>
              <w:rPr>
                <w:rFonts w:ascii="Arial" w:eastAsia="Arial" w:hAnsi="Arial" w:cs="Arial"/>
                <w:b w:val="0"/>
                <w:i w:val="0"/>
                <w:strike w:val="0"/>
                <w:color w:val="000000"/>
                <w:sz w:val="13"/>
                <w:u w:val="none"/>
                <w:vertAlign w:val="baseline"/>
              </w:rPr>
              <w:t>411</w:t>
            </w:r>
            <w:bookmarkStart w:id="524" w:name="XBRL_CE_33326b8a1ee44facb7f4a14b70297343"/>
            <w:bookmarkEnd w:id="523"/>
            <w:bookmarkEnd w:id="524"/>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4.4., 5.2., 5.6.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Current tax liabilities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25" w:name="XBRL_CS_aab6e62bd4784ee9a62ed25d23da837f"/>
            <w:bookmarkEnd w:id="525"/>
            <w:bookmarkStart w:id="526" w:name="aab6e62bd4784ee9a62ed25d23da837f"/>
            <w:r>
              <w:rPr>
                <w:rFonts w:ascii="Arial" w:eastAsia="Arial" w:hAnsi="Arial" w:cs="Arial"/>
                <w:b/>
                <w:i w:val="0"/>
                <w:strike w:val="0"/>
                <w:color w:val="000000"/>
                <w:sz w:val="13"/>
                <w:u w:val="none"/>
                <w:vertAlign w:val="baseline"/>
              </w:rPr>
              <w:t>63</w:t>
            </w:r>
            <w:bookmarkStart w:id="527" w:name="XBRL_CE_aab6e62bd4784ee9a62ed25d23da837f"/>
            <w:bookmarkEnd w:id="526"/>
            <w:bookmarkEnd w:id="527"/>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28" w:name="XBRL_CS_a26a64c2242546e097cbffcb9230f9b8"/>
            <w:bookmarkEnd w:id="528"/>
            <w:bookmarkStart w:id="529" w:name="a26a64c2242546e097cbffcb9230f9b8"/>
            <w:r>
              <w:rPr>
                <w:rFonts w:ascii="Arial" w:eastAsia="Arial" w:hAnsi="Arial" w:cs="Arial"/>
                <w:b w:val="0"/>
                <w:i w:val="0"/>
                <w:strike w:val="0"/>
                <w:color w:val="000000"/>
                <w:sz w:val="13"/>
                <w:u w:val="none"/>
                <w:vertAlign w:val="baseline"/>
              </w:rPr>
              <w:t>56</w:t>
            </w:r>
            <w:bookmarkStart w:id="530" w:name="XBRL_CE_a26a64c2242546e097cbffcb9230f9b8"/>
            <w:bookmarkEnd w:id="529"/>
            <w:bookmarkEnd w:id="530"/>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Contract liabilities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31" w:name="XBRL_CS_e7f4cc6aca044cf29226b99614c644ba"/>
            <w:bookmarkEnd w:id="531"/>
            <w:bookmarkStart w:id="532" w:name="e7f4cc6aca044cf29226b99614c644ba"/>
            <w:r>
              <w:rPr>
                <w:rFonts w:ascii="Arial" w:eastAsia="Arial" w:hAnsi="Arial" w:cs="Arial"/>
                <w:b/>
                <w:i w:val="0"/>
                <w:strike w:val="0"/>
                <w:color w:val="000000"/>
                <w:sz w:val="13"/>
                <w:u w:val="none"/>
                <w:vertAlign w:val="baseline"/>
              </w:rPr>
              <w:t>1,231</w:t>
            </w:r>
            <w:bookmarkStart w:id="533" w:name="XBRL_CE_e7f4cc6aca044cf29226b99614c644ba"/>
            <w:bookmarkEnd w:id="532"/>
            <w:bookmarkEnd w:id="533"/>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34" w:name="XBRL_CS_907fbbbba8ac427f937aea5aa68db60c"/>
            <w:bookmarkEnd w:id="534"/>
            <w:bookmarkStart w:id="535" w:name="907fbbbba8ac427f937aea5aa68db60c"/>
            <w:r>
              <w:rPr>
                <w:rFonts w:ascii="Arial" w:eastAsia="Arial" w:hAnsi="Arial" w:cs="Arial"/>
                <w:b w:val="0"/>
                <w:i w:val="0"/>
                <w:strike w:val="0"/>
                <w:color w:val="000000"/>
                <w:sz w:val="13"/>
                <w:u w:val="none"/>
                <w:vertAlign w:val="baseline"/>
              </w:rPr>
              <w:t>926</w:t>
            </w:r>
            <w:bookmarkStart w:id="536" w:name="XBRL_CE_907fbbbba8ac427f937aea5aa68db60c"/>
            <w:bookmarkEnd w:id="535"/>
            <w:bookmarkEnd w:id="536"/>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liabilities</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37" w:name="XBRL_CS_bd1a7f2d021141e285b77ec956a861f0"/>
            <w:bookmarkEnd w:id="537"/>
            <w:bookmarkStart w:id="538" w:name="bd1a7f2d021141e285b77ec956a861f0"/>
            <w:r>
              <w:rPr>
                <w:rFonts w:ascii="Arial" w:eastAsia="Arial" w:hAnsi="Arial" w:cs="Arial"/>
                <w:b/>
                <w:i w:val="0"/>
                <w:strike w:val="0"/>
                <w:color w:val="000000"/>
                <w:sz w:val="13"/>
                <w:u w:val="none"/>
                <w:vertAlign w:val="baseline"/>
              </w:rPr>
              <w:t>676</w:t>
            </w:r>
            <w:bookmarkStart w:id="539" w:name="XBRL_CE_bd1a7f2d021141e285b77ec956a861f0"/>
            <w:bookmarkEnd w:id="538"/>
            <w:bookmarkEnd w:id="539"/>
          </w:p>
        </w:tc>
        <w:tc>
          <w:tcPr>
            <w:tcW w:w="120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40" w:name="XBRL_CS_76443251da8343d5bbe727d0d3a6a408"/>
            <w:bookmarkEnd w:id="540"/>
            <w:bookmarkStart w:id="541" w:name="76443251da8343d5bbe727d0d3a6a408"/>
            <w:r>
              <w:rPr>
                <w:rFonts w:ascii="Arial" w:eastAsia="Arial" w:hAnsi="Arial" w:cs="Arial"/>
                <w:b w:val="0"/>
                <w:i w:val="0"/>
                <w:strike w:val="0"/>
                <w:color w:val="000000"/>
                <w:sz w:val="13"/>
                <w:u w:val="none"/>
                <w:vertAlign w:val="baseline"/>
              </w:rPr>
              <w:t>664</w:t>
            </w:r>
            <w:bookmarkStart w:id="542" w:name="XBRL_CE_76443251da8343d5bbe727d0d3a6a408"/>
            <w:bookmarkEnd w:id="541"/>
            <w:bookmarkEnd w:id="542"/>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3.4., 4.4.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current liabilities</w:t>
            </w: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43" w:name="XBRL_CS_7b6c9e1ab017414897e7ea9f71aa4ed2"/>
            <w:bookmarkEnd w:id="543"/>
            <w:bookmarkStart w:id="544" w:name="7b6c9e1ab017414897e7ea9f71aa4ed2"/>
            <w:r>
              <w:rPr>
                <w:rFonts w:ascii="Arial" w:eastAsia="Arial" w:hAnsi="Arial" w:cs="Arial"/>
                <w:b/>
                <w:i w:val="0"/>
                <w:strike w:val="0"/>
                <w:color w:val="000000"/>
                <w:sz w:val="13"/>
                <w:u w:val="none"/>
                <w:vertAlign w:val="baseline"/>
              </w:rPr>
              <w:t>3,047</w:t>
            </w:r>
            <w:bookmarkStart w:id="545" w:name="XBRL_CE_7b6c9e1ab017414897e7ea9f71aa4ed2"/>
            <w:bookmarkEnd w:id="544"/>
            <w:bookmarkEnd w:id="545"/>
          </w:p>
        </w:tc>
        <w:tc>
          <w:tcPr>
            <w:tcW w:w="120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46" w:name="XBRL_CS_ed80fcfa4fc64c9587f869a3b723af6e"/>
            <w:bookmarkEnd w:id="546"/>
            <w:bookmarkStart w:id="547" w:name="ed80fcfa4fc64c9587f869a3b723af6e"/>
            <w:r>
              <w:rPr>
                <w:rFonts w:ascii="Arial" w:eastAsia="Arial" w:hAnsi="Arial" w:cs="Arial"/>
                <w:b w:val="0"/>
                <w:i w:val="0"/>
                <w:strike w:val="0"/>
                <w:color w:val="000000"/>
                <w:sz w:val="13"/>
                <w:u w:val="none"/>
                <w:vertAlign w:val="baseline"/>
              </w:rPr>
              <w:t>2,524</w:t>
            </w:r>
            <w:bookmarkStart w:id="548" w:name="XBRL_CE_ed80fcfa4fc64c9587f869a3b723af6e"/>
            <w:bookmarkEnd w:id="547"/>
            <w:bookmarkEnd w:id="548"/>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liabilities</w:t>
            </w:r>
          </w:p>
        </w:tc>
        <w:tc>
          <w:tcPr>
            <w:tcW w:w="120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49" w:name="XBRL_CS_9de84eb8d4e748fb9bbed310e754d9f2"/>
            <w:bookmarkEnd w:id="549"/>
            <w:bookmarkStart w:id="550" w:name="9de84eb8d4e748fb9bbed310e754d9f2"/>
            <w:r>
              <w:rPr>
                <w:rFonts w:ascii="Arial" w:eastAsia="Arial" w:hAnsi="Arial" w:cs="Arial"/>
                <w:b/>
                <w:i w:val="0"/>
                <w:strike w:val="0"/>
                <w:color w:val="000000"/>
                <w:sz w:val="13"/>
                <w:u w:val="none"/>
                <w:vertAlign w:val="baseline"/>
              </w:rPr>
              <w:t>4,199</w:t>
            </w:r>
            <w:bookmarkStart w:id="551" w:name="XBRL_CE_9de84eb8d4e748fb9bbed310e754d9f2"/>
            <w:bookmarkEnd w:id="550"/>
            <w:bookmarkEnd w:id="551"/>
          </w:p>
        </w:tc>
        <w:tc>
          <w:tcPr>
            <w:tcW w:w="120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52" w:name="XBRL_CS_28ddff99f24f485a96c1c2edc24b7107"/>
            <w:bookmarkEnd w:id="552"/>
            <w:bookmarkStart w:id="553" w:name="28ddff99f24f485a96c1c2edc24b7107"/>
            <w:r>
              <w:rPr>
                <w:rFonts w:ascii="Arial" w:eastAsia="Arial" w:hAnsi="Arial" w:cs="Arial"/>
                <w:b w:val="0"/>
                <w:i w:val="0"/>
                <w:strike w:val="0"/>
                <w:color w:val="000000"/>
                <w:sz w:val="13"/>
                <w:u w:val="none"/>
                <w:vertAlign w:val="baseline"/>
              </w:rPr>
              <w:t>3,975</w:t>
            </w:r>
            <w:bookmarkStart w:id="554" w:name="XBRL_CE_28ddff99f24f485a96c1c2edc24b7107"/>
            <w:bookmarkEnd w:id="553"/>
            <w:bookmarkEnd w:id="554"/>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Liabilities directly attributable to assets held for sale</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bookmarkStart w:id="555" w:name="XBRL_CS_8cec0eb4d7cd4f5bae48e5854e64a871"/>
            <w:bookmarkEnd w:id="555"/>
            <w:bookmarkStart w:id="556" w:name="8cec0eb4d7cd4f5bae48e5854e64a871"/>
            <w:r>
              <w:rPr>
                <w:rFonts w:ascii="Arial" w:eastAsia="Arial" w:hAnsi="Arial" w:cs="Arial"/>
                <w:b/>
                <w:i w:val="0"/>
                <w:strike w:val="0"/>
                <w:color w:val="E7EBED"/>
                <w:sz w:val="13"/>
                <w:u w:val="none"/>
                <w:vertAlign w:val="baseline"/>
              </w:rPr>
              <w:t>0</w:t>
            </w:r>
            <w:bookmarkStart w:id="557" w:name="XBRL_CE_8cec0eb4d7cd4f5bae48e5854e64a871"/>
            <w:bookmarkEnd w:id="556"/>
            <w:bookmarkEnd w:id="557"/>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58" w:name="XBRL_CS_029cc8a3b2794051bc2d44d19b5b839f"/>
            <w:bookmarkEnd w:id="558"/>
            <w:bookmarkStart w:id="559" w:name="029cc8a3b2794051bc2d44d19b5b839f"/>
            <w:r>
              <w:rPr>
                <w:rFonts w:ascii="Arial" w:eastAsia="Arial" w:hAnsi="Arial" w:cs="Arial"/>
                <w:b w:val="0"/>
                <w:i w:val="0"/>
                <w:strike w:val="0"/>
                <w:color w:val="000000"/>
                <w:sz w:val="13"/>
                <w:u w:val="none"/>
                <w:vertAlign w:val="baseline"/>
              </w:rPr>
              <w:t>68</w:t>
            </w:r>
            <w:bookmarkStart w:id="560" w:name="XBRL_CE_029cc8a3b2794051bc2d44d19b5b839f"/>
            <w:bookmarkEnd w:id="559"/>
            <w:bookmarkEnd w:id="560"/>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6.3.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equity and liabilities</w:t>
            </w:r>
          </w:p>
        </w:tc>
        <w:tc>
          <w:tcPr>
            <w:tcW w:w="120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61" w:name="XBRL_CS_71bf16f28eee4191820e61c892dd0d90"/>
            <w:bookmarkEnd w:id="561"/>
            <w:bookmarkStart w:id="562" w:name="71bf16f28eee4191820e61c892dd0d90"/>
            <w:r>
              <w:rPr>
                <w:rFonts w:ascii="Arial" w:eastAsia="Arial" w:hAnsi="Arial" w:cs="Arial"/>
                <w:b/>
                <w:i w:val="0"/>
                <w:strike w:val="0"/>
                <w:color w:val="000000"/>
                <w:sz w:val="13"/>
                <w:u w:val="none"/>
                <w:vertAlign w:val="baseline"/>
              </w:rPr>
              <w:t>6,523</w:t>
            </w:r>
            <w:bookmarkStart w:id="563" w:name="XBRL_CE_71bf16f28eee4191820e61c892dd0d90"/>
            <w:bookmarkEnd w:id="562"/>
            <w:bookmarkEnd w:id="563"/>
          </w:p>
        </w:tc>
        <w:tc>
          <w:tcPr>
            <w:tcW w:w="120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64" w:name="XBRL_CS_2f813372bfb24ed6874969282c33a90e"/>
            <w:bookmarkEnd w:id="564"/>
            <w:bookmarkStart w:id="565" w:name="2f813372bfb24ed6874969282c33a90e"/>
            <w:r>
              <w:rPr>
                <w:rFonts w:ascii="Arial" w:eastAsia="Arial" w:hAnsi="Arial" w:cs="Arial"/>
                <w:b w:val="0"/>
                <w:i w:val="0"/>
                <w:strike w:val="0"/>
                <w:color w:val="000000"/>
                <w:sz w:val="13"/>
                <w:u w:val="none"/>
                <w:vertAlign w:val="baseline"/>
              </w:rPr>
              <w:t>6,232</w:t>
            </w:r>
            <w:bookmarkStart w:id="566" w:name="XBRL_CE_2f813372bfb24ed6874969282c33a90e"/>
            <w:bookmarkEnd w:id="565"/>
            <w:bookmarkEnd w:id="566"/>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bl>
    <w:p w:rsidR="009450DE" w:rsidP="00E2052E" w14:paraId="3274D0E4" w14:textId="77777777">
      <w:pPr>
        <w:pStyle w:val="Bodytext2"/>
      </w:pPr>
      <w:bookmarkStart w:id="567" w:name="RG_MARKER_7384"/>
      <w:bookmarkEnd w:id="567"/>
    </w:p>
    <w:p w:rsidR="00E2052E" w:rsidRPr="00F05ECB" w:rsidP="00E2052E" w14:textId="51BBF362">
      <w:pPr>
        <w:pStyle w:val="Bodytext2"/>
        <w:rPr>
          <w:sz w:val="2"/>
          <w:szCs w:val="2"/>
        </w:rPr>
      </w:pPr>
      <w:r w:rsidRPr="00E2052E">
        <w:t>The notes are an integral part of these consolidated financial statements.</w:t>
      </w:r>
      <w:r>
        <w:br w:type="column"/>
      </w:r>
    </w:p>
    <w:p w:rsidR="005D1654" w:rsidRPr="00561A43" w:rsidP="00084A2B" w14:paraId="58F87FB6" w14:textId="06A66602">
      <w:pPr>
        <w:pStyle w:val="Heading105"/>
        <w:spacing w:after="120"/>
        <w:rPr>
          <w:rFonts w:eastAsiaTheme="minorEastAsia"/>
          <w:lang w:eastAsia="fi-FI"/>
        </w:rPr>
      </w:pPr>
      <w:bookmarkStart w:id="568" w:name="RG_MARKER_7351"/>
      <w:r>
        <w:t>CONSOLIDATED STATEMENT OF CASH FLOWS</w:t>
      </w:r>
      <w:bookmarkEnd w:id="568"/>
    </w:p>
    <w:p/>
    <w:tbl>
      <w:tblPr>
        <w:tblStyle w:val="CDMRange2"/>
        <w:tblW w:w="7365" w:type="dxa"/>
        <w:tblLayout w:type="fixed"/>
        <w:tblLook w:val="0600"/>
      </w:tblPr>
      <w:tblGrid>
        <w:gridCol w:w="3885"/>
        <w:gridCol w:w="1200"/>
        <w:gridCol w:w="1200"/>
        <w:gridCol w:w="1080"/>
      </w:tblGrid>
      <w:tr>
        <w:tblPrEx>
          <w:tblW w:w="7365" w:type="dxa"/>
          <w:tblLayout w:type="fixed"/>
          <w:tblLook w:val="0600"/>
        </w:tblPrEx>
        <w:trPr>
          <w:trHeight w:hRule="exact" w:val="240"/>
        </w:trPr>
        <w:tc>
          <w:tcPr>
            <w:tcW w:w="388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0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0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Note</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Cash flow from operating activities:</w:t>
            </w:r>
          </w:p>
        </w:tc>
        <w:tc>
          <w:tcPr>
            <w:tcW w:w="120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Profit for the financial period</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69" w:name="XBRL_CS_470167a9d84a4391bd5404c7885503d9"/>
            <w:bookmarkEnd w:id="569"/>
            <w:bookmarkStart w:id="570" w:name="470167a9d84a4391bd5404c7885503d9"/>
            <w:r>
              <w:rPr>
                <w:rFonts w:ascii="Arial" w:eastAsia="Arial" w:hAnsi="Arial" w:cs="Arial"/>
                <w:b/>
                <w:i w:val="0"/>
                <w:strike w:val="0"/>
                <w:color w:val="000000"/>
                <w:sz w:val="13"/>
                <w:u w:val="none"/>
                <w:vertAlign w:val="baseline"/>
              </w:rPr>
              <w:t>193</w:t>
            </w:r>
            <w:bookmarkStart w:id="571" w:name="XBRL_CE_470167a9d84a4391bd5404c7885503d9"/>
            <w:bookmarkEnd w:id="570"/>
            <w:bookmarkEnd w:id="571"/>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72" w:name="XBRL_CS_4627f347a1c14afe9d4ea7627b347473"/>
            <w:bookmarkEnd w:id="572"/>
            <w:bookmarkStart w:id="573" w:name="4627f347a1c14afe9d4ea7627b347473"/>
            <w:r>
              <w:rPr>
                <w:rFonts w:ascii="Arial" w:eastAsia="Arial" w:hAnsi="Arial" w:cs="Arial"/>
                <w:b w:val="0"/>
                <w:i w:val="0"/>
                <w:strike w:val="0"/>
                <w:color w:val="000000"/>
                <w:sz w:val="13"/>
                <w:u w:val="none"/>
                <w:vertAlign w:val="baseline"/>
              </w:rPr>
              <w:t>133</w:t>
            </w:r>
            <w:bookmarkStart w:id="574" w:name="XBRL_CE_4627f347a1c14afe9d4ea7627b347473"/>
            <w:bookmarkEnd w:id="573"/>
            <w:bookmarkEnd w:id="574"/>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Adjustments for:</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auto" w:fill="auto"/>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Depreciation, amortisation and impairment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75" w:name="XBRL_CS_0580d0191f1f4a09ac3819a7a9af32a1"/>
            <w:bookmarkEnd w:id="575"/>
            <w:bookmarkStart w:id="576" w:name="0580d0191f1f4a09ac3819a7a9af32a1"/>
            <w:r>
              <w:rPr>
                <w:rFonts w:ascii="Arial" w:eastAsia="Arial" w:hAnsi="Arial" w:cs="Arial"/>
                <w:b/>
                <w:i w:val="0"/>
                <w:strike w:val="0"/>
                <w:color w:val="000000"/>
                <w:sz w:val="13"/>
                <w:u w:val="none"/>
                <w:vertAlign w:val="baseline"/>
              </w:rPr>
              <w:t>162</w:t>
            </w:r>
            <w:bookmarkStart w:id="577" w:name="XBRL_CE_0580d0191f1f4a09ac3819a7a9af32a1"/>
            <w:bookmarkEnd w:id="576"/>
            <w:bookmarkEnd w:id="577"/>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78" w:name="XBRL_CS_8f2ed0225af6468293f2b31d8ae90a0a"/>
            <w:bookmarkEnd w:id="578"/>
            <w:bookmarkStart w:id="579" w:name="8f2ed0225af6468293f2b31d8ae90a0a"/>
            <w:r>
              <w:rPr>
                <w:rFonts w:ascii="Arial" w:eastAsia="Arial" w:hAnsi="Arial" w:cs="Arial"/>
                <w:b w:val="0"/>
                <w:i w:val="0"/>
                <w:strike w:val="0"/>
                <w:color w:val="000000"/>
                <w:sz w:val="13"/>
                <w:u w:val="none"/>
                <w:vertAlign w:val="baseline"/>
              </w:rPr>
              <w:t>174</w:t>
            </w:r>
            <w:bookmarkStart w:id="580" w:name="XBRL_CE_8f2ed0225af6468293f2b31d8ae90a0a"/>
            <w:bookmarkEnd w:id="579"/>
            <w:bookmarkEnd w:id="580"/>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auto" w:fill="auto"/>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Financial income and expenses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81" w:name="XBRL_CS_c89a34091672442db30dea540341677c"/>
            <w:bookmarkEnd w:id="581"/>
            <w:bookmarkStart w:id="582" w:name="c89a34091672442db30dea540341677c"/>
            <w:r>
              <w:rPr>
                <w:rFonts w:ascii="Arial" w:eastAsia="Arial" w:hAnsi="Arial" w:cs="Arial"/>
                <w:b/>
                <w:i w:val="0"/>
                <w:strike w:val="0"/>
                <w:color w:val="000000"/>
                <w:sz w:val="13"/>
                <w:u w:val="none"/>
                <w:vertAlign w:val="baseline"/>
              </w:rPr>
              <w:t>18</w:t>
            </w:r>
            <w:bookmarkStart w:id="583" w:name="XBRL_CE_c89a34091672442db30dea540341677c"/>
            <w:bookmarkEnd w:id="582"/>
            <w:bookmarkEnd w:id="583"/>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84" w:name="XBRL_CS_ee6652620ab44e5c81e4040ebfea9a5e"/>
            <w:bookmarkEnd w:id="584"/>
            <w:bookmarkStart w:id="585" w:name="ee6652620ab44e5c81e4040ebfea9a5e"/>
            <w:r>
              <w:rPr>
                <w:rFonts w:ascii="Arial" w:eastAsia="Arial" w:hAnsi="Arial" w:cs="Arial"/>
                <w:b w:val="0"/>
                <w:i w:val="0"/>
                <w:strike w:val="0"/>
                <w:color w:val="000000"/>
                <w:sz w:val="13"/>
                <w:u w:val="none"/>
                <w:vertAlign w:val="baseline"/>
              </w:rPr>
              <w:t>43</w:t>
            </w:r>
            <w:bookmarkStart w:id="586" w:name="XBRL_CE_ee6652620ab44e5c81e4040ebfea9a5e"/>
            <w:bookmarkEnd w:id="585"/>
            <w:bookmarkEnd w:id="586"/>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Gains and losses on sale of intangible assets and property, plant and equipment and other changes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bookmarkStart w:id="587" w:name="XBRL_CS_635e66ab4d0d4da384955191fe124b3f"/>
            <w:bookmarkEnd w:id="587"/>
            <w:bookmarkStart w:id="588" w:name="635e66ab4d0d4da384955191fe124b3f"/>
            <w:r>
              <w:rPr>
                <w:rFonts w:ascii="Arial" w:eastAsia="Arial" w:hAnsi="Arial" w:cs="Arial"/>
                <w:b/>
                <w:i w:val="0"/>
                <w:strike w:val="0"/>
                <w:color w:val="E7EBED"/>
                <w:sz w:val="13"/>
                <w:u w:val="none"/>
                <w:vertAlign w:val="baseline"/>
              </w:rPr>
              <w:t>0</w:t>
            </w:r>
            <w:bookmarkStart w:id="589" w:name="XBRL_CE_635e66ab4d0d4da384955191fe124b3f"/>
            <w:bookmarkEnd w:id="588"/>
            <w:bookmarkEnd w:id="589"/>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90" w:name="XBRL_CS_86e41ffeddf54ac8a2728e838702a95b"/>
            <w:bookmarkEnd w:id="590"/>
            <w:bookmarkStart w:id="591" w:name="86e41ffeddf54ac8a2728e838702a95b"/>
            <w:r>
              <w:rPr>
                <w:rFonts w:ascii="Arial" w:eastAsia="Arial" w:hAnsi="Arial" w:cs="Arial"/>
                <w:b w:val="0"/>
                <w:i w:val="0"/>
                <w:strike w:val="0"/>
                <w:color w:val="000000"/>
                <w:sz w:val="13"/>
                <w:u w:val="none"/>
                <w:vertAlign w:val="baseline"/>
              </w:rPr>
              <w:t>-9</w:t>
            </w:r>
            <w:bookmarkStart w:id="592" w:name="XBRL_CE_86e41ffeddf54ac8a2728e838702a95b"/>
            <w:bookmarkEnd w:id="591"/>
            <w:bookmarkEnd w:id="592"/>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auto" w:fill="auto"/>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Share of result of associates and joint ventures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93" w:name="XBRL_CS_91ce4ba52d6d4a2c95fd355356bf51cc"/>
            <w:bookmarkEnd w:id="593"/>
            <w:bookmarkStart w:id="594" w:name="91ce4ba52d6d4a2c95fd355356bf51cc"/>
            <w:r>
              <w:rPr>
                <w:rFonts w:ascii="Arial" w:eastAsia="Arial" w:hAnsi="Arial" w:cs="Arial"/>
                <w:b/>
                <w:i w:val="0"/>
                <w:strike w:val="0"/>
                <w:color w:val="000000"/>
                <w:sz w:val="13"/>
                <w:u w:val="none"/>
                <w:vertAlign w:val="baseline"/>
              </w:rPr>
              <w:t>-3</w:t>
            </w:r>
            <w:bookmarkStart w:id="595" w:name="XBRL_CE_91ce4ba52d6d4a2c95fd355356bf51cc"/>
            <w:bookmarkEnd w:id="594"/>
            <w:bookmarkEnd w:id="595"/>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96" w:name="XBRL_CS_3401022329b6432a9e72ce590d4053c9"/>
            <w:bookmarkEnd w:id="596"/>
            <w:bookmarkStart w:id="597" w:name="3401022329b6432a9e72ce590d4053c9"/>
            <w:r>
              <w:rPr>
                <w:rFonts w:ascii="Arial" w:eastAsia="Arial" w:hAnsi="Arial" w:cs="Arial"/>
                <w:b w:val="0"/>
                <w:i w:val="0"/>
                <w:strike w:val="0"/>
                <w:color w:val="000000"/>
                <w:sz w:val="13"/>
                <w:u w:val="none"/>
                <w:vertAlign w:val="baseline"/>
              </w:rPr>
              <w:t>-3</w:t>
            </w:r>
            <w:bookmarkStart w:id="598" w:name="XBRL_CE_3401022329b6432a9e72ce590d4053c9"/>
            <w:bookmarkEnd w:id="597"/>
            <w:bookmarkEnd w:id="598"/>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6.4.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auto" w:fill="auto"/>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Income taxes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99" w:name="XBRL_CS_e0bc3716bc6f4201b05bd0eaf5c8f45f"/>
            <w:bookmarkEnd w:id="599"/>
            <w:bookmarkStart w:id="600" w:name="e0bc3716bc6f4201b05bd0eaf5c8f45f"/>
            <w:r>
              <w:rPr>
                <w:rFonts w:ascii="Arial" w:eastAsia="Arial" w:hAnsi="Arial" w:cs="Arial"/>
                <w:b/>
                <w:i w:val="0"/>
                <w:strike w:val="0"/>
                <w:color w:val="000000"/>
                <w:sz w:val="13"/>
                <w:u w:val="none"/>
                <w:vertAlign w:val="baseline"/>
              </w:rPr>
              <w:t>103</w:t>
            </w:r>
            <w:bookmarkStart w:id="601" w:name="XBRL_CE_e0bc3716bc6f4201b05bd0eaf5c8f45f"/>
            <w:bookmarkEnd w:id="600"/>
            <w:bookmarkEnd w:id="601"/>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02" w:name="XBRL_CS_1814e53b478a4363ad9a2fed150315e3"/>
            <w:bookmarkEnd w:id="602"/>
            <w:bookmarkStart w:id="603" w:name="1814e53b478a4363ad9a2fed150315e3"/>
            <w:r>
              <w:rPr>
                <w:rFonts w:ascii="Arial" w:eastAsia="Arial" w:hAnsi="Arial" w:cs="Arial"/>
                <w:b w:val="0"/>
                <w:i w:val="0"/>
                <w:strike w:val="0"/>
                <w:color w:val="000000"/>
                <w:sz w:val="13"/>
                <w:u w:val="none"/>
                <w:vertAlign w:val="baseline"/>
              </w:rPr>
              <w:t>58</w:t>
            </w:r>
            <w:bookmarkStart w:id="604" w:name="XBRL_CE_1814e53b478a4363ad9a2fed150315e3"/>
            <w:bookmarkEnd w:id="603"/>
            <w:bookmarkEnd w:id="604"/>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2.6.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8" w:space="0" w:color="0F172B"/>
              <w:right w:val="nil"/>
              <w:tl2br w:val="nil"/>
              <w:tr2bl w:val="nil"/>
            </w:tcBorders>
            <w:shd w:val="clear" w:color="auto" w:fill="auto"/>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non-cash flow adjustments</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05" w:name="XBRL_CS_397f92c9ac384e378bdcf0e1d26fce6d"/>
            <w:bookmarkEnd w:id="605"/>
            <w:bookmarkStart w:id="606" w:name="397f92c9ac384e378bdcf0e1d26fce6d"/>
            <w:r>
              <w:rPr>
                <w:rFonts w:ascii="Arial" w:eastAsia="Arial" w:hAnsi="Arial" w:cs="Arial"/>
                <w:b/>
                <w:i w:val="0"/>
                <w:strike w:val="0"/>
                <w:color w:val="000000"/>
                <w:sz w:val="13"/>
                <w:u w:val="none"/>
                <w:vertAlign w:val="baseline"/>
              </w:rPr>
              <w:t>6</w:t>
            </w:r>
            <w:bookmarkStart w:id="607" w:name="XBRL_CE_397f92c9ac384e378bdcf0e1d26fce6d"/>
            <w:bookmarkEnd w:id="606"/>
            <w:bookmarkEnd w:id="607"/>
          </w:p>
        </w:tc>
        <w:tc>
          <w:tcPr>
            <w:tcW w:w="120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08" w:name="XBRL_CS_98618db01a55403bbda9072c8bd0eb76"/>
            <w:bookmarkEnd w:id="608"/>
            <w:bookmarkStart w:id="609" w:name="98618db01a55403bbda9072c8bd0eb76"/>
            <w:r>
              <w:rPr>
                <w:rFonts w:ascii="Arial" w:eastAsia="Arial" w:hAnsi="Arial" w:cs="Arial"/>
                <w:b w:val="0"/>
                <w:i w:val="0"/>
                <w:strike w:val="0"/>
                <w:color w:val="000000"/>
                <w:sz w:val="13"/>
                <w:u w:val="none"/>
                <w:vertAlign w:val="baseline"/>
              </w:rPr>
              <w:t>7</w:t>
            </w:r>
            <w:bookmarkStart w:id="610" w:name="XBRL_CE_98618db01a55403bbda9072c8bd0eb76"/>
            <w:bookmarkEnd w:id="609"/>
            <w:bookmarkEnd w:id="610"/>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flow before changes in working capital</w:t>
            </w: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11" w:name="XBRL_CS_d85f7dd627034a87acfcc10291e3978e"/>
            <w:bookmarkEnd w:id="611"/>
            <w:bookmarkStart w:id="612" w:name="d85f7dd627034a87acfcc10291e3978e"/>
            <w:r>
              <w:rPr>
                <w:rFonts w:ascii="Arial" w:eastAsia="Arial" w:hAnsi="Arial" w:cs="Arial"/>
                <w:b/>
                <w:i w:val="0"/>
                <w:strike w:val="0"/>
                <w:color w:val="000000"/>
                <w:sz w:val="13"/>
                <w:u w:val="none"/>
                <w:vertAlign w:val="baseline"/>
              </w:rPr>
              <w:t>478</w:t>
            </w:r>
            <w:bookmarkStart w:id="613" w:name="XBRL_CE_d85f7dd627034a87acfcc10291e3978e"/>
            <w:bookmarkEnd w:id="612"/>
            <w:bookmarkEnd w:id="613"/>
          </w:p>
        </w:tc>
        <w:tc>
          <w:tcPr>
            <w:tcW w:w="120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14" w:name="XBRL_CS_1e05be62276349789f965c767437ee20"/>
            <w:bookmarkEnd w:id="614"/>
            <w:bookmarkStart w:id="615" w:name="1e05be62276349789f965c767437ee20"/>
            <w:r>
              <w:rPr>
                <w:rFonts w:ascii="Arial" w:eastAsia="Arial" w:hAnsi="Arial" w:cs="Arial"/>
                <w:b w:val="0"/>
                <w:i w:val="0"/>
                <w:strike w:val="0"/>
                <w:color w:val="000000"/>
                <w:sz w:val="13"/>
                <w:u w:val="none"/>
                <w:vertAlign w:val="baseline"/>
              </w:rPr>
              <w:t>403</w:t>
            </w:r>
            <w:bookmarkStart w:id="616" w:name="XBRL_CE_1e05be62276349789f965c767437ee20"/>
            <w:bookmarkEnd w:id="615"/>
            <w:bookmarkEnd w:id="616"/>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Changes in working capital:</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Receivables, non-interest-bearing, increase (-) / decrease (+)</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17" w:name="XBRL_CS_d995889e1c9647dfac46f71049633df8"/>
            <w:bookmarkEnd w:id="617"/>
            <w:bookmarkStart w:id="618" w:name="d995889e1c9647dfac46f71049633df8"/>
            <w:r>
              <w:rPr>
                <w:rFonts w:ascii="Arial" w:eastAsia="Arial" w:hAnsi="Arial" w:cs="Arial"/>
                <w:b/>
                <w:i w:val="0"/>
                <w:strike w:val="0"/>
                <w:color w:val="000000"/>
                <w:sz w:val="13"/>
                <w:u w:val="none"/>
                <w:vertAlign w:val="baseline"/>
              </w:rPr>
              <w:t>-177</w:t>
            </w:r>
            <w:bookmarkStart w:id="619" w:name="XBRL_CE_d995889e1c9647dfac46f71049633df8"/>
            <w:bookmarkEnd w:id="618"/>
            <w:bookmarkEnd w:id="619"/>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20" w:name="XBRL_CS_33633314bda240b18ef05301e1073afa"/>
            <w:bookmarkEnd w:id="620"/>
            <w:bookmarkStart w:id="621" w:name="33633314bda240b18ef05301e1073afa"/>
            <w:r>
              <w:rPr>
                <w:rFonts w:ascii="Arial" w:eastAsia="Arial" w:hAnsi="Arial" w:cs="Arial"/>
                <w:b w:val="0"/>
                <w:i w:val="0"/>
                <w:strike w:val="0"/>
                <w:color w:val="000000"/>
                <w:sz w:val="13"/>
                <w:u w:val="none"/>
                <w:vertAlign w:val="baseline"/>
              </w:rPr>
              <w:t>338</w:t>
            </w:r>
            <w:bookmarkStart w:id="622" w:name="XBRL_CE_33633314bda240b18ef05301e1073afa"/>
            <w:bookmarkEnd w:id="621"/>
            <w:bookmarkEnd w:id="622"/>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Inventories, increase (-) / decrease (+)</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23" w:name="XBRL_CS_4e463b51504f4ccf86007e5d353a0dfb"/>
            <w:bookmarkEnd w:id="623"/>
            <w:bookmarkStart w:id="624" w:name="4e463b51504f4ccf86007e5d353a0dfb"/>
            <w:r>
              <w:rPr>
                <w:rFonts w:ascii="Arial" w:eastAsia="Arial" w:hAnsi="Arial" w:cs="Arial"/>
                <w:b/>
                <w:i w:val="0"/>
                <w:strike w:val="0"/>
                <w:color w:val="000000"/>
                <w:sz w:val="13"/>
                <w:u w:val="none"/>
                <w:vertAlign w:val="baseline"/>
              </w:rPr>
              <w:t>29</w:t>
            </w:r>
            <w:bookmarkStart w:id="625" w:name="XBRL_CE_4e463b51504f4ccf86007e5d353a0dfb"/>
            <w:bookmarkEnd w:id="624"/>
            <w:bookmarkEnd w:id="625"/>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26" w:name="XBRL_CS_275eccd9b85e488e9bb65df250a06e9e"/>
            <w:bookmarkEnd w:id="626"/>
            <w:bookmarkStart w:id="627" w:name="275eccd9b85e488e9bb65df250a06e9e"/>
            <w:r>
              <w:rPr>
                <w:rFonts w:ascii="Arial" w:eastAsia="Arial" w:hAnsi="Arial" w:cs="Arial"/>
                <w:b w:val="0"/>
                <w:i w:val="0"/>
                <w:strike w:val="0"/>
                <w:color w:val="000000"/>
                <w:sz w:val="13"/>
                <w:u w:val="none"/>
                <w:vertAlign w:val="baseline"/>
              </w:rPr>
              <w:t>122</w:t>
            </w:r>
            <w:bookmarkStart w:id="628" w:name="XBRL_CE_275eccd9b85e488e9bb65df250a06e9e"/>
            <w:bookmarkEnd w:id="627"/>
            <w:bookmarkEnd w:id="628"/>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Liabilities, non-interest-bearing, increase (+) / decrease (-)</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29" w:name="XBRL_CS_fd7ad8e887124efeb7337ed2e57f250c"/>
            <w:bookmarkEnd w:id="629"/>
            <w:bookmarkStart w:id="630" w:name="fd7ad8e887124efeb7337ed2e57f250c"/>
            <w:r>
              <w:rPr>
                <w:rFonts w:ascii="Arial" w:eastAsia="Arial" w:hAnsi="Arial" w:cs="Arial"/>
                <w:b/>
                <w:i w:val="0"/>
                <w:strike w:val="0"/>
                <w:color w:val="000000"/>
                <w:sz w:val="13"/>
                <w:u w:val="none"/>
                <w:vertAlign w:val="baseline"/>
              </w:rPr>
              <w:t>512</w:t>
            </w:r>
            <w:bookmarkStart w:id="631" w:name="XBRL_CE_fd7ad8e887124efeb7337ed2e57f250c"/>
            <w:bookmarkEnd w:id="630"/>
            <w:bookmarkEnd w:id="631"/>
          </w:p>
        </w:tc>
        <w:tc>
          <w:tcPr>
            <w:tcW w:w="120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32" w:name="XBRL_CS_5ddd948d7f1449b499645307e435d7ce"/>
            <w:bookmarkEnd w:id="632"/>
            <w:bookmarkStart w:id="633" w:name="5ddd948d7f1449b499645307e435d7ce"/>
            <w:r>
              <w:rPr>
                <w:rFonts w:ascii="Arial" w:eastAsia="Arial" w:hAnsi="Arial" w:cs="Arial"/>
                <w:b w:val="0"/>
                <w:i w:val="0"/>
                <w:strike w:val="0"/>
                <w:color w:val="000000"/>
                <w:sz w:val="13"/>
                <w:u w:val="none"/>
                <w:vertAlign w:val="baseline"/>
              </w:rPr>
              <w:t>-32</w:t>
            </w:r>
            <w:bookmarkStart w:id="634" w:name="XBRL_CE_5ddd948d7f1449b499645307e435d7ce"/>
            <w:bookmarkEnd w:id="633"/>
            <w:bookmarkEnd w:id="634"/>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working capital</w:t>
            </w: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35" w:name="XBRL_CS_1d758003b8604bb3a1d785fc4cf888e9"/>
            <w:bookmarkEnd w:id="635"/>
            <w:bookmarkStart w:id="636" w:name="1d758003b8604bb3a1d785fc4cf888e9"/>
            <w:r>
              <w:rPr>
                <w:rFonts w:ascii="Arial" w:eastAsia="Arial" w:hAnsi="Arial" w:cs="Arial"/>
                <w:b/>
                <w:i w:val="0"/>
                <w:strike w:val="0"/>
                <w:color w:val="000000"/>
                <w:sz w:val="13"/>
                <w:u w:val="none"/>
                <w:vertAlign w:val="baseline"/>
              </w:rPr>
              <w:t>363</w:t>
            </w:r>
            <w:bookmarkStart w:id="637" w:name="XBRL_CE_1d758003b8604bb3a1d785fc4cf888e9"/>
            <w:bookmarkEnd w:id="636"/>
            <w:bookmarkEnd w:id="637"/>
          </w:p>
        </w:tc>
        <w:tc>
          <w:tcPr>
            <w:tcW w:w="120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38" w:name="XBRL_CS_a1fb1506bdfe436db95168c8b8ad7af4"/>
            <w:bookmarkEnd w:id="638"/>
            <w:bookmarkStart w:id="639" w:name="a1fb1506bdfe436db95168c8b8ad7af4"/>
            <w:r>
              <w:rPr>
                <w:rFonts w:ascii="Arial" w:eastAsia="Arial" w:hAnsi="Arial" w:cs="Arial"/>
                <w:b w:val="0"/>
                <w:i w:val="0"/>
                <w:strike w:val="0"/>
                <w:color w:val="000000"/>
                <w:sz w:val="13"/>
                <w:u w:val="none"/>
                <w:vertAlign w:val="baseline"/>
              </w:rPr>
              <w:t>428</w:t>
            </w:r>
            <w:bookmarkStart w:id="640" w:name="XBRL_CE_a1fb1506bdfe436db95168c8b8ad7af4"/>
            <w:bookmarkEnd w:id="639"/>
            <w:bookmarkEnd w:id="640"/>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Cash flow from operating activities before financial items and taxes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41" w:name="XBRL_CS_4fd779422a1b4c51b46e2ae9426f2ee0"/>
            <w:bookmarkEnd w:id="641"/>
            <w:bookmarkStart w:id="642" w:name="4fd779422a1b4c51b46e2ae9426f2ee0"/>
            <w:r>
              <w:rPr>
                <w:rFonts w:ascii="Arial" w:eastAsia="Arial" w:hAnsi="Arial" w:cs="Arial"/>
                <w:b/>
                <w:i w:val="0"/>
                <w:strike w:val="0"/>
                <w:color w:val="000000"/>
                <w:sz w:val="13"/>
                <w:u w:val="none"/>
                <w:vertAlign w:val="baseline"/>
              </w:rPr>
              <w:t>841</w:t>
            </w:r>
            <w:bookmarkStart w:id="643" w:name="XBRL_CE_4fd779422a1b4c51b46e2ae9426f2ee0"/>
            <w:bookmarkEnd w:id="642"/>
            <w:bookmarkEnd w:id="643"/>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44" w:name="XBRL_CS_d09b6b301c194fcaa7235b25eeb1172c"/>
            <w:bookmarkEnd w:id="644"/>
            <w:bookmarkStart w:id="645" w:name="d09b6b301c194fcaa7235b25eeb1172c"/>
            <w:r>
              <w:rPr>
                <w:rFonts w:ascii="Arial" w:eastAsia="Arial" w:hAnsi="Arial" w:cs="Arial"/>
                <w:b w:val="0"/>
                <w:i w:val="0"/>
                <w:strike w:val="0"/>
                <w:color w:val="000000"/>
                <w:sz w:val="13"/>
                <w:u w:val="none"/>
                <w:vertAlign w:val="baseline"/>
              </w:rPr>
              <w:t>832</w:t>
            </w:r>
            <w:bookmarkStart w:id="646" w:name="XBRL_CE_d09b6b301c194fcaa7235b25eeb1172c"/>
            <w:bookmarkEnd w:id="645"/>
            <w:bookmarkEnd w:id="646"/>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Financial items and taxes:</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income</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47" w:name="XBRL_CS_f77b8dc72c1747639e838fcdb1f3a545"/>
            <w:bookmarkEnd w:id="647"/>
            <w:bookmarkStart w:id="648" w:name="f77b8dc72c1747639e838fcdb1f3a545"/>
            <w:r>
              <w:rPr>
                <w:rFonts w:ascii="Arial" w:eastAsia="Arial" w:hAnsi="Arial" w:cs="Arial"/>
                <w:b/>
                <w:i w:val="0"/>
                <w:strike w:val="0"/>
                <w:color w:val="000000"/>
                <w:sz w:val="13"/>
                <w:u w:val="none"/>
                <w:vertAlign w:val="baseline"/>
              </w:rPr>
              <w:t>5</w:t>
            </w:r>
            <w:bookmarkStart w:id="649" w:name="XBRL_CE_f77b8dc72c1747639e838fcdb1f3a545"/>
            <w:bookmarkEnd w:id="648"/>
            <w:bookmarkEnd w:id="649"/>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50" w:name="XBRL_CS_8d897a3289c14c218eee2a8756e6197b"/>
            <w:bookmarkEnd w:id="650"/>
            <w:bookmarkStart w:id="651" w:name="8d897a3289c14c218eee2a8756e6197b"/>
            <w:r>
              <w:rPr>
                <w:rFonts w:ascii="Arial" w:eastAsia="Arial" w:hAnsi="Arial" w:cs="Arial"/>
                <w:b w:val="0"/>
                <w:i w:val="0"/>
                <w:strike w:val="0"/>
                <w:color w:val="000000"/>
                <w:sz w:val="13"/>
                <w:u w:val="none"/>
                <w:vertAlign w:val="baseline"/>
              </w:rPr>
              <w:t>4</w:t>
            </w:r>
            <w:bookmarkStart w:id="652" w:name="XBRL_CE_8d897a3289c14c218eee2a8756e6197b"/>
            <w:bookmarkEnd w:id="651"/>
            <w:bookmarkEnd w:id="652"/>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expenses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53" w:name="XBRL_CS_53d6336ecb234c25bacc83c1406ab503"/>
            <w:bookmarkEnd w:id="653"/>
            <w:bookmarkStart w:id="654" w:name="53d6336ecb234c25bacc83c1406ab503"/>
            <w:r>
              <w:rPr>
                <w:rFonts w:ascii="Arial" w:eastAsia="Arial" w:hAnsi="Arial" w:cs="Arial"/>
                <w:b/>
                <w:i w:val="0"/>
                <w:strike w:val="0"/>
                <w:color w:val="000000"/>
                <w:sz w:val="13"/>
                <w:u w:val="none"/>
                <w:vertAlign w:val="baseline"/>
              </w:rPr>
              <w:t>-16</w:t>
            </w:r>
            <w:bookmarkStart w:id="655" w:name="XBRL_CE_53d6336ecb234c25bacc83c1406ab503"/>
            <w:bookmarkEnd w:id="654"/>
            <w:bookmarkEnd w:id="655"/>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56" w:name="XBRL_CS_bcac003d07de4783aac3908bb12d3984"/>
            <w:bookmarkEnd w:id="656"/>
            <w:bookmarkStart w:id="657" w:name="bcac003d07de4783aac3908bb12d3984"/>
            <w:r>
              <w:rPr>
                <w:rFonts w:ascii="Arial" w:eastAsia="Arial" w:hAnsi="Arial" w:cs="Arial"/>
                <w:b w:val="0"/>
                <w:i w:val="0"/>
                <w:strike w:val="0"/>
                <w:color w:val="000000"/>
                <w:sz w:val="13"/>
                <w:u w:val="none"/>
                <w:vertAlign w:val="baseline"/>
              </w:rPr>
              <w:t>-14</w:t>
            </w:r>
            <w:bookmarkStart w:id="658" w:name="XBRL_CE_bcac003d07de4783aac3908bb12d3984"/>
            <w:bookmarkEnd w:id="657"/>
            <w:bookmarkEnd w:id="658"/>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financial income and expenses</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59" w:name="XBRL_CS_c94130f44174484dbb15e79951b99bf9"/>
            <w:bookmarkEnd w:id="659"/>
            <w:bookmarkStart w:id="660" w:name="c94130f44174484dbb15e79951b99bf9"/>
            <w:r>
              <w:rPr>
                <w:rFonts w:ascii="Arial" w:eastAsia="Arial" w:hAnsi="Arial" w:cs="Arial"/>
                <w:b/>
                <w:i w:val="0"/>
                <w:strike w:val="0"/>
                <w:color w:val="000000"/>
                <w:sz w:val="13"/>
                <w:u w:val="none"/>
                <w:vertAlign w:val="baseline"/>
              </w:rPr>
              <w:t>1</w:t>
            </w:r>
            <w:bookmarkStart w:id="661" w:name="XBRL_CE_c94130f44174484dbb15e79951b99bf9"/>
            <w:bookmarkEnd w:id="660"/>
            <w:bookmarkEnd w:id="661"/>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62" w:name="XBRL_CS_95fc953887c743c0a29830166186e383"/>
            <w:bookmarkEnd w:id="662"/>
            <w:bookmarkStart w:id="663" w:name="95fc953887c743c0a29830166186e383"/>
            <w:r>
              <w:rPr>
                <w:rFonts w:ascii="Arial" w:eastAsia="Arial" w:hAnsi="Arial" w:cs="Arial"/>
                <w:b w:val="0"/>
                <w:i w:val="0"/>
                <w:strike w:val="0"/>
                <w:color w:val="000000"/>
                <w:sz w:val="13"/>
                <w:u w:val="none"/>
                <w:vertAlign w:val="baseline"/>
              </w:rPr>
              <w:t>-19</w:t>
            </w:r>
            <w:bookmarkStart w:id="664" w:name="XBRL_CE_95fc953887c743c0a29830166186e383"/>
            <w:bookmarkEnd w:id="663"/>
            <w:bookmarkEnd w:id="664"/>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Income taxes paid</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65" w:name="XBRL_CS_010fab4e5e3946e581d0de4722f9bb0e"/>
            <w:bookmarkEnd w:id="665"/>
            <w:bookmarkStart w:id="666" w:name="010fab4e5e3946e581d0de4722f9bb0e"/>
            <w:r>
              <w:rPr>
                <w:rFonts w:ascii="Arial" w:eastAsia="Arial" w:hAnsi="Arial" w:cs="Arial"/>
                <w:b/>
                <w:i w:val="0"/>
                <w:strike w:val="0"/>
                <w:color w:val="000000"/>
                <w:sz w:val="13"/>
                <w:u w:val="none"/>
                <w:vertAlign w:val="baseline"/>
              </w:rPr>
              <w:t>-100</w:t>
            </w:r>
            <w:bookmarkStart w:id="667" w:name="XBRL_CE_010fab4e5e3946e581d0de4722f9bb0e"/>
            <w:bookmarkEnd w:id="666"/>
            <w:bookmarkEnd w:id="667"/>
          </w:p>
        </w:tc>
        <w:tc>
          <w:tcPr>
            <w:tcW w:w="120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68" w:name="XBRL_CS_c5d127ee97b7456c9c34ca54e47a7f84"/>
            <w:bookmarkEnd w:id="668"/>
            <w:bookmarkStart w:id="669" w:name="c5d127ee97b7456c9c34ca54e47a7f84"/>
            <w:r>
              <w:rPr>
                <w:rFonts w:ascii="Arial" w:eastAsia="Arial" w:hAnsi="Arial" w:cs="Arial"/>
                <w:b w:val="0"/>
                <w:i w:val="0"/>
                <w:strike w:val="0"/>
                <w:color w:val="000000"/>
                <w:sz w:val="13"/>
                <w:u w:val="none"/>
                <w:vertAlign w:val="baseline"/>
              </w:rPr>
              <w:t>-122</w:t>
            </w:r>
            <w:bookmarkStart w:id="670" w:name="XBRL_CE_c5d127ee97b7456c9c34ca54e47a7f84"/>
            <w:bookmarkEnd w:id="669"/>
            <w:bookmarkEnd w:id="670"/>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Financial items and paid taxes</w:t>
            </w:r>
          </w:p>
        </w:tc>
        <w:tc>
          <w:tcPr>
            <w:tcW w:w="1200" w:type="dxa"/>
            <w:tcBorders>
              <w:top w:val="single" w:sz="8" w:space="0" w:color="0F172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71" w:name="XBRL_CS_7827834fb4a54cb1beacbcee0619805a"/>
            <w:bookmarkEnd w:id="671"/>
            <w:bookmarkStart w:id="672" w:name="7827834fb4a54cb1beacbcee0619805a"/>
            <w:r>
              <w:rPr>
                <w:rFonts w:ascii="Arial" w:eastAsia="Arial" w:hAnsi="Arial" w:cs="Arial"/>
                <w:b/>
                <w:i w:val="0"/>
                <w:strike w:val="0"/>
                <w:color w:val="000000"/>
                <w:sz w:val="13"/>
                <w:u w:val="none"/>
                <w:vertAlign w:val="baseline"/>
              </w:rPr>
              <w:t>-111</w:t>
            </w:r>
            <w:bookmarkStart w:id="673" w:name="XBRL_CE_7827834fb4a54cb1beacbcee0619805a"/>
            <w:bookmarkEnd w:id="672"/>
            <w:bookmarkEnd w:id="673"/>
          </w:p>
        </w:tc>
        <w:tc>
          <w:tcPr>
            <w:tcW w:w="120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74" w:name="XBRL_CS_fdfb6481931a48d1ba3212e3785d2b41"/>
            <w:bookmarkEnd w:id="674"/>
            <w:bookmarkStart w:id="675" w:name="fdfb6481931a48d1ba3212e3785d2b41"/>
            <w:r>
              <w:rPr>
                <w:rFonts w:ascii="Arial" w:eastAsia="Arial" w:hAnsi="Arial" w:cs="Arial"/>
                <w:b w:val="0"/>
                <w:i w:val="0"/>
                <w:strike w:val="0"/>
                <w:color w:val="000000"/>
                <w:sz w:val="13"/>
                <w:u w:val="none"/>
                <w:vertAlign w:val="baseline"/>
              </w:rPr>
              <w:t>-150</w:t>
            </w:r>
            <w:bookmarkStart w:id="676" w:name="XBRL_CE_fdfb6481931a48d1ba3212e3785d2b41"/>
            <w:bookmarkEnd w:id="675"/>
            <w:bookmarkEnd w:id="676"/>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Cash flow from operating activities</w:t>
            </w:r>
          </w:p>
        </w:tc>
        <w:tc>
          <w:tcPr>
            <w:tcW w:w="120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77" w:name="XBRL_CS_21b7145edf524412809efb42034aab72"/>
            <w:bookmarkEnd w:id="677"/>
            <w:bookmarkStart w:id="678" w:name="21b7145edf524412809efb42034aab72"/>
            <w:r>
              <w:rPr>
                <w:rFonts w:ascii="Arial" w:eastAsia="Arial" w:hAnsi="Arial" w:cs="Arial"/>
                <w:b/>
                <w:i w:val="0"/>
                <w:strike w:val="0"/>
                <w:color w:val="000000"/>
                <w:sz w:val="13"/>
                <w:u w:val="none"/>
                <w:vertAlign w:val="baseline"/>
              </w:rPr>
              <w:t>731</w:t>
            </w:r>
            <w:bookmarkStart w:id="679" w:name="XBRL_CE_21b7145edf524412809efb42034aab72"/>
            <w:bookmarkEnd w:id="678"/>
            <w:bookmarkEnd w:id="679"/>
          </w:p>
        </w:tc>
        <w:tc>
          <w:tcPr>
            <w:tcW w:w="120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80" w:name="XBRL_CS_7f2028d2ed3f4dd193b5caedbaf1e59d"/>
            <w:bookmarkEnd w:id="680"/>
            <w:bookmarkStart w:id="681" w:name="7f2028d2ed3f4dd193b5caedbaf1e59d"/>
            <w:r>
              <w:rPr>
                <w:rFonts w:ascii="Arial" w:eastAsia="Arial" w:hAnsi="Arial" w:cs="Arial"/>
                <w:b w:val="0"/>
                <w:i w:val="0"/>
                <w:strike w:val="0"/>
                <w:color w:val="000000"/>
                <w:sz w:val="13"/>
                <w:u w:val="none"/>
                <w:vertAlign w:val="baseline"/>
              </w:rPr>
              <w:t>681</w:t>
            </w:r>
            <w:bookmarkStart w:id="682" w:name="XBRL_CE_7f2028d2ed3f4dd193b5caedbaf1e59d"/>
            <w:bookmarkEnd w:id="681"/>
            <w:bookmarkEnd w:id="682"/>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Cash flow from investing activities:</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Acquisitions</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bookmarkStart w:id="683" w:name="XBRL_CS_e37eb51fc64e4d6da9c2bcca80e24736"/>
            <w:bookmarkEnd w:id="683"/>
            <w:bookmarkStart w:id="684" w:name="e37eb51fc64e4d6da9c2bcca80e24736"/>
            <w:r>
              <w:rPr>
                <w:rFonts w:ascii="Arial" w:eastAsia="Arial" w:hAnsi="Arial" w:cs="Arial"/>
                <w:b/>
                <w:i w:val="0"/>
                <w:strike w:val="0"/>
                <w:color w:val="E7EBED"/>
                <w:sz w:val="13"/>
                <w:u w:val="none"/>
                <w:vertAlign w:val="baseline"/>
              </w:rPr>
              <w:t>0</w:t>
            </w:r>
            <w:bookmarkStart w:id="685" w:name="XBRL_CE_e37eb51fc64e4d6da9c2bcca80e24736"/>
            <w:bookmarkEnd w:id="684"/>
            <w:bookmarkEnd w:id="685"/>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86" w:name="XBRL_CS_9d4b59ad3d2e453dab143e4c9c203348"/>
            <w:bookmarkEnd w:id="686"/>
            <w:bookmarkStart w:id="687" w:name="9d4b59ad3d2e453dab143e4c9c203348"/>
            <w:r>
              <w:rPr>
                <w:rFonts w:ascii="Arial" w:eastAsia="Arial" w:hAnsi="Arial" w:cs="Arial"/>
                <w:b w:val="0"/>
                <w:i w:val="0"/>
                <w:strike w:val="0"/>
                <w:color w:val="000000"/>
                <w:sz w:val="13"/>
                <w:u w:val="none"/>
                <w:vertAlign w:val="baseline"/>
              </w:rPr>
              <w:t>-1</w:t>
            </w:r>
            <w:bookmarkStart w:id="688" w:name="XBRL_CE_9d4b59ad3d2e453dab143e4c9c203348"/>
            <w:bookmarkEnd w:id="687"/>
            <w:bookmarkEnd w:id="688"/>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6.1.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investments</w:t>
            </w:r>
          </w:p>
        </w:tc>
        <w:tc>
          <w:tcPr>
            <w:tcW w:w="1200" w:type="dxa"/>
            <w:tcBorders>
              <w:top w:val="nil"/>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89" w:name="XBRL_CS_fc975c3216ef442397c6000bab65e8f1"/>
            <w:bookmarkEnd w:id="689"/>
            <w:bookmarkStart w:id="690" w:name="fc975c3216ef442397c6000bab65e8f1"/>
            <w:r>
              <w:rPr>
                <w:rFonts w:ascii="Arial" w:eastAsia="Arial" w:hAnsi="Arial" w:cs="Arial"/>
                <w:b/>
                <w:i w:val="0"/>
                <w:strike w:val="0"/>
                <w:color w:val="000000"/>
                <w:sz w:val="13"/>
                <w:u w:val="none"/>
                <w:vertAlign w:val="baseline"/>
              </w:rPr>
              <w:t>-1</w:t>
            </w:r>
            <w:bookmarkStart w:id="691" w:name="XBRL_CE_fc975c3216ef442397c6000bab65e8f1"/>
            <w:bookmarkEnd w:id="690"/>
            <w:bookmarkEnd w:id="691"/>
          </w:p>
        </w:tc>
        <w:tc>
          <w:tcPr>
            <w:tcW w:w="1200" w:type="dxa"/>
            <w:tcBorders>
              <w:top w:val="nil"/>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92" w:name="XBRL_CS_7a196b4751e7496a952db1ee226119ec"/>
            <w:bookmarkEnd w:id="692"/>
            <w:bookmarkStart w:id="693" w:name="7a196b4751e7496a952db1ee226119ec"/>
            <w:r>
              <w:rPr>
                <w:rFonts w:ascii="Arial" w:eastAsia="Arial" w:hAnsi="Arial" w:cs="Arial"/>
                <w:b w:val="0"/>
                <w:i w:val="0"/>
                <w:strike w:val="0"/>
                <w:color w:val="000000"/>
                <w:sz w:val="13"/>
                <w:u w:val="none"/>
                <w:vertAlign w:val="baseline"/>
              </w:rPr>
              <w:t>-1</w:t>
            </w:r>
            <w:bookmarkStart w:id="694" w:name="XBRL_CE_7a196b4751e7496a952db1ee226119ec"/>
            <w:bookmarkEnd w:id="693"/>
            <w:bookmarkEnd w:id="694"/>
          </w:p>
        </w:tc>
        <w:tc>
          <w:tcPr>
            <w:tcW w:w="108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Investments in property, plant and equipment and intangible assets</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95" w:name="XBRL_CS_ee55be94d82245ba909779afac00c028"/>
            <w:bookmarkEnd w:id="695"/>
            <w:bookmarkStart w:id="696" w:name="ee55be94d82245ba909779afac00c028"/>
            <w:r>
              <w:rPr>
                <w:rFonts w:ascii="Arial" w:eastAsia="Arial" w:hAnsi="Arial" w:cs="Arial"/>
                <w:b/>
                <w:i w:val="0"/>
                <w:strike w:val="0"/>
                <w:color w:val="000000"/>
                <w:sz w:val="13"/>
                <w:u w:val="none"/>
                <w:vertAlign w:val="baseline"/>
              </w:rPr>
              <w:t>-142</w:t>
            </w:r>
            <w:bookmarkStart w:id="697" w:name="XBRL_CE_ee55be94d82245ba909779afac00c028"/>
            <w:bookmarkEnd w:id="696"/>
            <w:bookmarkEnd w:id="697"/>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98" w:name="XBRL_CS_7c0e49a8150b4e429cedbc2f55430c1e"/>
            <w:bookmarkEnd w:id="698"/>
            <w:bookmarkStart w:id="699" w:name="7c0e49a8150b4e429cedbc2f55430c1e"/>
            <w:r>
              <w:rPr>
                <w:rFonts w:ascii="Arial" w:eastAsia="Arial" w:hAnsi="Arial" w:cs="Arial"/>
                <w:b w:val="0"/>
                <w:i w:val="0"/>
                <w:strike w:val="0"/>
                <w:color w:val="000000"/>
                <w:sz w:val="13"/>
                <w:u w:val="none"/>
                <w:vertAlign w:val="baseline"/>
              </w:rPr>
              <w:t>-115</w:t>
            </w:r>
            <w:bookmarkStart w:id="700" w:name="XBRL_CE_7c0e49a8150b4e429cedbc2f55430c1e"/>
            <w:bookmarkEnd w:id="699"/>
            <w:bookmarkEnd w:id="700"/>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3.2., 3.3.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nil"/>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Proceeds from sale of property, plant and equipment and intangible assets</w:t>
            </w:r>
          </w:p>
        </w:tc>
        <w:tc>
          <w:tcPr>
            <w:tcW w:w="1200" w:type="dxa"/>
            <w:tcBorders>
              <w:top w:val="nil"/>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01" w:name="XBRL_CS_b6bf413db6164d0894b701ff5fc50ef8"/>
            <w:bookmarkEnd w:id="701"/>
            <w:bookmarkStart w:id="702" w:name="b6bf413db6164d0894b701ff5fc50ef8"/>
            <w:r>
              <w:rPr>
                <w:rFonts w:ascii="Arial" w:eastAsia="Arial" w:hAnsi="Arial" w:cs="Arial"/>
                <w:b/>
                <w:i w:val="0"/>
                <w:strike w:val="0"/>
                <w:color w:val="000000"/>
                <w:sz w:val="13"/>
                <w:u w:val="none"/>
                <w:vertAlign w:val="baseline"/>
              </w:rPr>
              <w:t>5</w:t>
            </w:r>
            <w:bookmarkStart w:id="703" w:name="XBRL_CE_b6bf413db6164d0894b701ff5fc50ef8"/>
            <w:bookmarkEnd w:id="702"/>
            <w:bookmarkEnd w:id="703"/>
          </w:p>
        </w:tc>
        <w:tc>
          <w:tcPr>
            <w:tcW w:w="1200" w:type="dxa"/>
            <w:tcBorders>
              <w:top w:val="nil"/>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04" w:name="XBRL_CS_df08af39cf984ef3a7f9e148b3d34b71"/>
            <w:bookmarkEnd w:id="704"/>
            <w:bookmarkStart w:id="705" w:name="df08af39cf984ef3a7f9e148b3d34b71"/>
            <w:r>
              <w:rPr>
                <w:rFonts w:ascii="Arial" w:eastAsia="Arial" w:hAnsi="Arial" w:cs="Arial"/>
                <w:b w:val="0"/>
                <w:i w:val="0"/>
                <w:strike w:val="0"/>
                <w:color w:val="000000"/>
                <w:sz w:val="13"/>
                <w:u w:val="none"/>
                <w:vertAlign w:val="baseline"/>
              </w:rPr>
              <w:t>13</w:t>
            </w:r>
            <w:bookmarkStart w:id="706" w:name="XBRL_CE_df08af39cf984ef3a7f9e148b3d34b71"/>
            <w:bookmarkEnd w:id="705"/>
            <w:bookmarkEnd w:id="706"/>
          </w:p>
        </w:tc>
        <w:tc>
          <w:tcPr>
            <w:tcW w:w="108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3.2., 3.3.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Proceeds from sale of shares in subsidiaries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07" w:name="XBRL_CS_358877dee2be48518dd454d7008df8c9"/>
            <w:bookmarkEnd w:id="707"/>
            <w:bookmarkStart w:id="708" w:name="358877dee2be48518dd454d7008df8c9"/>
            <w:r>
              <w:rPr>
                <w:rFonts w:ascii="Arial" w:eastAsia="Arial" w:hAnsi="Arial" w:cs="Arial"/>
                <w:b/>
                <w:i w:val="0"/>
                <w:strike w:val="0"/>
                <w:color w:val="000000"/>
                <w:sz w:val="13"/>
                <w:u w:val="none"/>
                <w:vertAlign w:val="baseline"/>
              </w:rPr>
              <w:t>10</w:t>
            </w:r>
            <w:bookmarkStart w:id="709" w:name="XBRL_CE_358877dee2be48518dd454d7008df8c9"/>
            <w:bookmarkEnd w:id="708"/>
            <w:bookmarkEnd w:id="709"/>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10" w:name="XBRL_CS_a216527084d94393ae80a3eb6b331113"/>
            <w:bookmarkEnd w:id="710"/>
            <w:bookmarkStart w:id="711" w:name="a216527084d94393ae80a3eb6b331113"/>
            <w:r>
              <w:rPr>
                <w:rFonts w:ascii="Arial" w:eastAsia="Arial" w:hAnsi="Arial" w:cs="Arial"/>
                <w:b w:val="0"/>
                <w:i w:val="0"/>
                <w:strike w:val="0"/>
                <w:color w:val="000000"/>
                <w:sz w:val="13"/>
                <w:u w:val="none"/>
                <w:vertAlign w:val="baseline"/>
              </w:rPr>
              <w:t>22</w:t>
            </w:r>
            <w:bookmarkStart w:id="712" w:name="XBRL_CE_a216527084d94393ae80a3eb6b331113"/>
            <w:bookmarkEnd w:id="711"/>
            <w:bookmarkEnd w:id="712"/>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6.2.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Proceeds from sale of shares in associates and joint ventures</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bookmarkStart w:id="713" w:name="XBRL_CS_3d65e25634bc49789ad98cefd1a51eaf"/>
            <w:bookmarkEnd w:id="713"/>
            <w:bookmarkStart w:id="714" w:name="3d65e25634bc49789ad98cefd1a51eaf"/>
            <w:r>
              <w:rPr>
                <w:rFonts w:ascii="Arial" w:eastAsia="Arial" w:hAnsi="Arial" w:cs="Arial"/>
                <w:b/>
                <w:i w:val="0"/>
                <w:strike w:val="0"/>
                <w:color w:val="E7EBED"/>
                <w:sz w:val="13"/>
                <w:u w:val="none"/>
                <w:vertAlign w:val="baseline"/>
              </w:rPr>
              <w:t>0</w:t>
            </w:r>
            <w:bookmarkStart w:id="715" w:name="XBRL_CE_3d65e25634bc49789ad98cefd1a51eaf"/>
            <w:bookmarkEnd w:id="714"/>
            <w:bookmarkEnd w:id="715"/>
          </w:p>
        </w:tc>
        <w:tc>
          <w:tcPr>
            <w:tcW w:w="120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16" w:name="XBRL_CS_5946098d4f774a8b89ca504668823305"/>
            <w:bookmarkEnd w:id="716"/>
            <w:bookmarkStart w:id="717" w:name="5946098d4f774a8b89ca504668823305"/>
            <w:r>
              <w:rPr>
                <w:rFonts w:ascii="Arial" w:eastAsia="Arial" w:hAnsi="Arial" w:cs="Arial"/>
                <w:b w:val="0"/>
                <w:i w:val="0"/>
                <w:strike w:val="0"/>
                <w:color w:val="000000"/>
                <w:sz w:val="13"/>
                <w:u w:val="none"/>
                <w:vertAlign w:val="baseline"/>
              </w:rPr>
              <w:t>27</w:t>
            </w:r>
            <w:bookmarkStart w:id="718" w:name="XBRL_CE_5946098d4f774a8b89ca504668823305"/>
            <w:bookmarkEnd w:id="717"/>
            <w:bookmarkEnd w:id="718"/>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6.4.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Cash flow from investing activities</w:t>
            </w:r>
          </w:p>
        </w:tc>
        <w:tc>
          <w:tcPr>
            <w:tcW w:w="1200"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19" w:name="XBRL_CS_54d1f5a7131d4b9b9becf3b785fd9b90"/>
            <w:bookmarkEnd w:id="719"/>
            <w:bookmarkStart w:id="720" w:name="54d1f5a7131d4b9b9becf3b785fd9b90"/>
            <w:r>
              <w:rPr>
                <w:rFonts w:ascii="Arial" w:eastAsia="Arial" w:hAnsi="Arial" w:cs="Arial"/>
                <w:b/>
                <w:i w:val="0"/>
                <w:strike w:val="0"/>
                <w:color w:val="000000"/>
                <w:sz w:val="13"/>
                <w:u w:val="none"/>
                <w:vertAlign w:val="baseline"/>
              </w:rPr>
              <w:t>-128</w:t>
            </w:r>
            <w:bookmarkStart w:id="721" w:name="XBRL_CE_54d1f5a7131d4b9b9becf3b785fd9b90"/>
            <w:bookmarkEnd w:id="720"/>
            <w:bookmarkEnd w:id="721"/>
          </w:p>
        </w:tc>
        <w:tc>
          <w:tcPr>
            <w:tcW w:w="120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22" w:name="XBRL_CS_e0b1a5e5b1ab4a5d922cc65e34e2e2e0"/>
            <w:bookmarkEnd w:id="722"/>
            <w:bookmarkStart w:id="723" w:name="e0b1a5e5b1ab4a5d922cc65e34e2e2e0"/>
            <w:r>
              <w:rPr>
                <w:rFonts w:ascii="Arial" w:eastAsia="Arial" w:hAnsi="Arial" w:cs="Arial"/>
                <w:b w:val="0"/>
                <w:i w:val="0"/>
                <w:strike w:val="0"/>
                <w:color w:val="000000"/>
                <w:sz w:val="13"/>
                <w:u w:val="none"/>
                <w:vertAlign w:val="baseline"/>
              </w:rPr>
              <w:t>-55</w:t>
            </w:r>
            <w:bookmarkStart w:id="724" w:name="XBRL_CE_e0b1a5e5b1ab4a5d922cc65e34e2e2e0"/>
            <w:bookmarkEnd w:id="723"/>
            <w:bookmarkEnd w:id="724"/>
          </w:p>
        </w:tc>
        <w:tc>
          <w:tcPr>
            <w:tcW w:w="1080"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Cash flow after investing activities</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25" w:name="XBRL_CS_8efe89add87e4aff9ed4cac6caf476f3"/>
            <w:bookmarkEnd w:id="725"/>
            <w:bookmarkStart w:id="726" w:name="8efe89add87e4aff9ed4cac6caf476f3"/>
            <w:r>
              <w:rPr>
                <w:rFonts w:ascii="Arial" w:eastAsia="Arial" w:hAnsi="Arial" w:cs="Arial"/>
                <w:b/>
                <w:i w:val="0"/>
                <w:strike w:val="0"/>
                <w:color w:val="000000"/>
                <w:sz w:val="13"/>
                <w:u w:val="none"/>
                <w:vertAlign w:val="baseline"/>
              </w:rPr>
              <w:t>603</w:t>
            </w:r>
            <w:bookmarkStart w:id="727" w:name="XBRL_CE_8efe89add87e4aff9ed4cac6caf476f3"/>
            <w:bookmarkEnd w:id="726"/>
            <w:bookmarkEnd w:id="727"/>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28" w:name="XBRL_CS_d47ef0fd764f458e89545a29b0f4e506"/>
            <w:bookmarkEnd w:id="728"/>
            <w:bookmarkStart w:id="729" w:name="d47ef0fd764f458e89545a29b0f4e506"/>
            <w:r>
              <w:rPr>
                <w:rFonts w:ascii="Arial" w:eastAsia="Arial" w:hAnsi="Arial" w:cs="Arial"/>
                <w:b w:val="0"/>
                <w:i w:val="0"/>
                <w:strike w:val="0"/>
                <w:color w:val="000000"/>
                <w:sz w:val="13"/>
                <w:u w:val="none"/>
                <w:vertAlign w:val="baseline"/>
              </w:rPr>
              <w:t>627</w:t>
            </w:r>
            <w:bookmarkStart w:id="730" w:name="XBRL_CE_d47ef0fd764f458e89545a29b0f4e506"/>
            <w:bookmarkEnd w:id="729"/>
            <w:bookmarkEnd w:id="730"/>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Cash flow from financing activities:</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Repurchase of own shares</w:t>
            </w:r>
          </w:p>
        </w:tc>
        <w:tc>
          <w:tcPr>
            <w:tcW w:w="1200" w:type="dxa"/>
            <w:tcBorders>
              <w:top w:val="nil"/>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31" w:name="XBRL_CS_96f2d9d890f4451aa15384635f9e71e9"/>
            <w:bookmarkEnd w:id="731"/>
            <w:bookmarkStart w:id="732" w:name="96f2d9d890f4451aa15384635f9e71e9"/>
            <w:r>
              <w:rPr>
                <w:rFonts w:ascii="Arial" w:eastAsia="Arial" w:hAnsi="Arial" w:cs="Arial"/>
                <w:b/>
                <w:i w:val="0"/>
                <w:strike w:val="0"/>
                <w:color w:val="000000"/>
                <w:sz w:val="13"/>
                <w:u w:val="none"/>
                <w:vertAlign w:val="baseline"/>
              </w:rPr>
              <w:t>-18</w:t>
            </w:r>
            <w:bookmarkStart w:id="733" w:name="XBRL_CE_96f2d9d890f4451aa15384635f9e71e9"/>
            <w:bookmarkEnd w:id="732"/>
            <w:bookmarkEnd w:id="733"/>
          </w:p>
        </w:tc>
        <w:tc>
          <w:tcPr>
            <w:tcW w:w="1200" w:type="dxa"/>
            <w:tcBorders>
              <w:top w:val="nil"/>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Proceeds from non-current debt</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bookmarkStart w:id="734" w:name="XBRL_CS_20b7511e09794e2cac3e6f398d70c9af"/>
            <w:bookmarkEnd w:id="734"/>
            <w:bookmarkStart w:id="735" w:name="20b7511e09794e2cac3e6f398d70c9af"/>
            <w:r>
              <w:rPr>
                <w:rFonts w:ascii="Arial" w:eastAsia="Arial" w:hAnsi="Arial" w:cs="Arial"/>
                <w:b/>
                <w:i w:val="0"/>
                <w:strike w:val="0"/>
                <w:color w:val="E7EBED"/>
                <w:sz w:val="13"/>
                <w:u w:val="none"/>
                <w:vertAlign w:val="baseline"/>
              </w:rPr>
              <w:t>0</w:t>
            </w:r>
            <w:bookmarkStart w:id="736" w:name="XBRL_CE_20b7511e09794e2cac3e6f398d70c9af"/>
            <w:bookmarkEnd w:id="735"/>
            <w:bookmarkEnd w:id="736"/>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37" w:name="XBRL_CS_248ff79d3d0246b893cd19a4a7e44ae7"/>
            <w:bookmarkEnd w:id="737"/>
            <w:bookmarkStart w:id="738" w:name="248ff79d3d0246b893cd19a4a7e44ae7"/>
            <w:r>
              <w:rPr>
                <w:rFonts w:ascii="Arial" w:eastAsia="Arial" w:hAnsi="Arial" w:cs="Arial"/>
                <w:b w:val="0"/>
                <w:i w:val="0"/>
                <w:strike w:val="0"/>
                <w:color w:val="000000"/>
                <w:sz w:val="13"/>
                <w:u w:val="none"/>
                <w:vertAlign w:val="baseline"/>
              </w:rPr>
              <w:t>317</w:t>
            </w:r>
            <w:bookmarkStart w:id="739" w:name="XBRL_CE_248ff79d3d0246b893cd19a4a7e44ae7"/>
            <w:bookmarkEnd w:id="738"/>
            <w:bookmarkEnd w:id="739"/>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Repayments and other changes in non-current debt</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40" w:name="XBRL_CS_c52fe0d0e62e4bada36282b0ff7e0c0e"/>
            <w:bookmarkEnd w:id="740"/>
            <w:bookmarkStart w:id="741" w:name="c52fe0d0e62e4bada36282b0ff7e0c0e"/>
            <w:r>
              <w:rPr>
                <w:rFonts w:ascii="Arial" w:eastAsia="Arial" w:hAnsi="Arial" w:cs="Arial"/>
                <w:b/>
                <w:i w:val="0"/>
                <w:strike w:val="0"/>
                <w:color w:val="000000"/>
                <w:sz w:val="13"/>
                <w:u w:val="none"/>
                <w:vertAlign w:val="baseline"/>
              </w:rPr>
              <w:t>-433</w:t>
            </w:r>
            <w:bookmarkStart w:id="742" w:name="XBRL_CE_c52fe0d0e62e4bada36282b0ff7e0c0e"/>
            <w:bookmarkEnd w:id="741"/>
            <w:bookmarkEnd w:id="742"/>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43" w:name="XBRL_CS_0689f267cc5d4775bb94821e1820563d"/>
            <w:bookmarkEnd w:id="743"/>
            <w:bookmarkStart w:id="744" w:name="0689f267cc5d4775bb94821e1820563d"/>
            <w:r>
              <w:rPr>
                <w:rFonts w:ascii="Arial" w:eastAsia="Arial" w:hAnsi="Arial" w:cs="Arial"/>
                <w:b w:val="0"/>
                <w:i w:val="0"/>
                <w:strike w:val="0"/>
                <w:color w:val="000000"/>
                <w:sz w:val="13"/>
                <w:u w:val="none"/>
                <w:vertAlign w:val="baseline"/>
              </w:rPr>
              <w:t>-76</w:t>
            </w:r>
            <w:bookmarkStart w:id="745" w:name="XBRL_CE_0689f267cc5d4775bb94821e1820563d"/>
            <w:bookmarkEnd w:id="744"/>
            <w:bookmarkEnd w:id="745"/>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Loan receivables, increase (-) / decrease (+)</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46" w:name="XBRL_CS_546b38c1f3a44fc8af13581cfc3d2e83"/>
            <w:bookmarkEnd w:id="746"/>
            <w:bookmarkStart w:id="747" w:name="546b38c1f3a44fc8af13581cfc3d2e83"/>
            <w:r>
              <w:rPr>
                <w:rFonts w:ascii="Arial" w:eastAsia="Arial" w:hAnsi="Arial" w:cs="Arial"/>
                <w:b/>
                <w:i w:val="0"/>
                <w:strike w:val="0"/>
                <w:color w:val="000000"/>
                <w:sz w:val="13"/>
                <w:u w:val="none"/>
                <w:vertAlign w:val="baseline"/>
              </w:rPr>
              <w:t>-4</w:t>
            </w:r>
            <w:bookmarkStart w:id="748" w:name="XBRL_CE_546b38c1f3a44fc8af13581cfc3d2e83"/>
            <w:bookmarkEnd w:id="747"/>
            <w:bookmarkEnd w:id="748"/>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49" w:name="XBRL_CS_4574cea57ca644e3bb559dd3d5bb7216"/>
            <w:bookmarkEnd w:id="749"/>
            <w:bookmarkStart w:id="750" w:name="4574cea57ca644e3bb559dd3d5bb7216"/>
            <w:r>
              <w:rPr>
                <w:rFonts w:ascii="Arial" w:eastAsia="Arial" w:hAnsi="Arial" w:cs="Arial"/>
                <w:b w:val="0"/>
                <w:i w:val="0"/>
                <w:strike w:val="0"/>
                <w:color w:val="000000"/>
                <w:sz w:val="13"/>
                <w:u w:val="none"/>
                <w:vertAlign w:val="baseline"/>
              </w:rPr>
              <w:t>1</w:t>
            </w:r>
            <w:bookmarkStart w:id="751" w:name="XBRL_CE_4574cea57ca644e3bb559dd3d5bb7216"/>
            <w:bookmarkEnd w:id="750"/>
            <w:bookmarkEnd w:id="751"/>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Current loans, increase (+) / decrease (-)</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52" w:name="XBRL_CS_d65c29078aa142e3b33001ed4b774723"/>
            <w:bookmarkEnd w:id="752"/>
            <w:bookmarkStart w:id="753" w:name="d65c29078aa142e3b33001ed4b774723"/>
            <w:r>
              <w:rPr>
                <w:rFonts w:ascii="Arial" w:eastAsia="Arial" w:hAnsi="Arial" w:cs="Arial"/>
                <w:b/>
                <w:i w:val="0"/>
                <w:strike w:val="0"/>
                <w:color w:val="000000"/>
                <w:sz w:val="13"/>
                <w:u w:val="none"/>
                <w:vertAlign w:val="baseline"/>
              </w:rPr>
              <w:t>-4</w:t>
            </w:r>
            <w:bookmarkStart w:id="754" w:name="XBRL_CE_d65c29078aa142e3b33001ed4b774723"/>
            <w:bookmarkEnd w:id="753"/>
            <w:bookmarkEnd w:id="754"/>
          </w:p>
        </w:tc>
        <w:tc>
          <w:tcPr>
            <w:tcW w:w="120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55" w:name="XBRL_CS_dcfc4541c78442b28243da885b9f2908"/>
            <w:bookmarkEnd w:id="755"/>
            <w:bookmarkStart w:id="756" w:name="dcfc4541c78442b28243da885b9f2908"/>
            <w:bookmarkStart w:id="757" w:name="XBRL_CE_dcfc4541c78442b28243da885b9f2908"/>
            <w:bookmarkEnd w:id="756"/>
            <w:bookmarkEnd w:id="757"/>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Dividends paid</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58" w:name="XBRL_CS_446eadabad3f4d58973e9753f32b2475"/>
            <w:bookmarkEnd w:id="758"/>
            <w:bookmarkStart w:id="759" w:name="446eadabad3f4d58973e9753f32b2475"/>
            <w:r>
              <w:rPr>
                <w:rFonts w:ascii="Arial" w:eastAsia="Arial" w:hAnsi="Arial" w:cs="Arial"/>
                <w:b/>
                <w:i w:val="0"/>
                <w:strike w:val="0"/>
                <w:color w:val="000000"/>
                <w:sz w:val="13"/>
                <w:u w:val="none"/>
                <w:vertAlign w:val="baseline"/>
              </w:rPr>
              <w:t>-121</w:t>
            </w:r>
            <w:bookmarkStart w:id="760" w:name="XBRL_CE_446eadabad3f4d58973e9753f32b2475"/>
            <w:bookmarkEnd w:id="759"/>
            <w:bookmarkEnd w:id="760"/>
          </w:p>
        </w:tc>
        <w:tc>
          <w:tcPr>
            <w:tcW w:w="120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61" w:name="XBRL_CS_8d98939760ea46df8be96fe444ebef63"/>
            <w:bookmarkEnd w:id="761"/>
            <w:bookmarkStart w:id="762" w:name="8d98939760ea46df8be96fe444ebef63"/>
            <w:r>
              <w:rPr>
                <w:rFonts w:ascii="Arial" w:eastAsia="Arial" w:hAnsi="Arial" w:cs="Arial"/>
                <w:b w:val="0"/>
                <w:i w:val="0"/>
                <w:strike w:val="0"/>
                <w:color w:val="000000"/>
                <w:sz w:val="13"/>
                <w:u w:val="none"/>
                <w:vertAlign w:val="baseline"/>
              </w:rPr>
              <w:t>-286</w:t>
            </w:r>
            <w:bookmarkStart w:id="763" w:name="XBRL_CE_8d98939760ea46df8be96fe444ebef63"/>
            <w:bookmarkEnd w:id="762"/>
            <w:bookmarkEnd w:id="763"/>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Cash flow from financing activities</w:t>
            </w:r>
          </w:p>
        </w:tc>
        <w:tc>
          <w:tcPr>
            <w:tcW w:w="120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64" w:name="XBRL_CS_b95c15b6553e4ae4acb26967e0cbef5f"/>
            <w:bookmarkEnd w:id="764"/>
            <w:bookmarkStart w:id="765" w:name="b95c15b6553e4ae4acb26967e0cbef5f"/>
            <w:r>
              <w:rPr>
                <w:rFonts w:ascii="Arial" w:eastAsia="Arial" w:hAnsi="Arial" w:cs="Arial"/>
                <w:b/>
                <w:i w:val="0"/>
                <w:strike w:val="0"/>
                <w:color w:val="000000"/>
                <w:sz w:val="13"/>
                <w:u w:val="none"/>
                <w:vertAlign w:val="baseline"/>
              </w:rPr>
              <w:t>-580</w:t>
            </w:r>
            <w:bookmarkStart w:id="766" w:name="XBRL_CE_b95c15b6553e4ae4acb26967e0cbef5f"/>
            <w:bookmarkEnd w:id="765"/>
            <w:bookmarkEnd w:id="766"/>
          </w:p>
        </w:tc>
        <w:tc>
          <w:tcPr>
            <w:tcW w:w="120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67" w:name="XBRL_CS_168a7342aa1e4069bd22371f40b881f2"/>
            <w:bookmarkEnd w:id="767"/>
            <w:bookmarkStart w:id="768" w:name="168a7342aa1e4069bd22371f40b881f2"/>
            <w:r>
              <w:rPr>
                <w:rFonts w:ascii="Arial" w:eastAsia="Arial" w:hAnsi="Arial" w:cs="Arial"/>
                <w:b w:val="0"/>
                <w:i w:val="0"/>
                <w:strike w:val="0"/>
                <w:color w:val="000000"/>
                <w:sz w:val="13"/>
                <w:u w:val="none"/>
                <w:vertAlign w:val="baseline"/>
              </w:rPr>
              <w:t>-44</w:t>
            </w:r>
            <w:bookmarkStart w:id="769" w:name="XBRL_CE_168a7342aa1e4069bd22371f40b881f2"/>
            <w:bookmarkEnd w:id="768"/>
            <w:bookmarkEnd w:id="769"/>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Change in cash and cash equivalents, increase (+) / decrease (-)</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70" w:name="XBRL_CS_5a0330a20a9941449713e5b55864de94"/>
            <w:bookmarkEnd w:id="770"/>
            <w:bookmarkStart w:id="771" w:name="5a0330a20a9941449713e5b55864de94"/>
            <w:r>
              <w:rPr>
                <w:rFonts w:ascii="Arial" w:eastAsia="Arial" w:hAnsi="Arial" w:cs="Arial"/>
                <w:b/>
                <w:i w:val="0"/>
                <w:strike w:val="0"/>
                <w:color w:val="000000"/>
                <w:sz w:val="13"/>
                <w:u w:val="none"/>
                <w:vertAlign w:val="baseline"/>
              </w:rPr>
              <w:t>22</w:t>
            </w:r>
            <w:bookmarkStart w:id="772" w:name="XBRL_CE_5a0330a20a9941449713e5b55864de94"/>
            <w:bookmarkEnd w:id="771"/>
            <w:bookmarkEnd w:id="772"/>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73" w:name="XBRL_CS_ec736a117c814874967b22fb8fa0c569"/>
            <w:bookmarkEnd w:id="773"/>
            <w:bookmarkStart w:id="774" w:name="ec736a117c814874967b22fb8fa0c569"/>
            <w:r>
              <w:rPr>
                <w:rFonts w:ascii="Arial" w:eastAsia="Arial" w:hAnsi="Arial" w:cs="Arial"/>
                <w:b w:val="0"/>
                <w:i w:val="0"/>
                <w:strike w:val="0"/>
                <w:color w:val="000000"/>
                <w:sz w:val="13"/>
                <w:u w:val="none"/>
                <w:vertAlign w:val="baseline"/>
              </w:rPr>
              <w:t>582</w:t>
            </w:r>
            <w:bookmarkStart w:id="775" w:name="XBRL_CE_ec736a117c814874967b22fb8fa0c569"/>
            <w:bookmarkEnd w:id="774"/>
            <w:bookmarkEnd w:id="775"/>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and cash equivalents at the beginning of the financial period*</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76" w:name="XBRL_CS_967453ded2d2439d8776838fdbd878b9"/>
            <w:bookmarkEnd w:id="776"/>
            <w:bookmarkStart w:id="777" w:name="967453ded2d2439d8776838fdbd878b9"/>
            <w:r>
              <w:rPr>
                <w:rFonts w:ascii="Arial" w:eastAsia="Arial" w:hAnsi="Arial" w:cs="Arial"/>
                <w:b/>
                <w:i w:val="0"/>
                <w:strike w:val="0"/>
                <w:color w:val="000000"/>
                <w:sz w:val="13"/>
                <w:u w:val="none"/>
                <w:vertAlign w:val="baseline"/>
              </w:rPr>
              <w:t>932</w:t>
            </w:r>
            <w:bookmarkStart w:id="778" w:name="XBRL_CE_967453ded2d2439d8776838fdbd878b9"/>
            <w:bookmarkEnd w:id="777"/>
            <w:bookmarkEnd w:id="778"/>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79" w:name="XBRL_CS_797dc7dcd29d411e94433b35020bda27"/>
            <w:bookmarkEnd w:id="779"/>
            <w:bookmarkStart w:id="780" w:name="797dc7dcd29d411e94433b35020bda27"/>
            <w:r>
              <w:rPr>
                <w:rFonts w:ascii="Arial" w:eastAsia="Arial" w:hAnsi="Arial" w:cs="Arial"/>
                <w:b w:val="0"/>
                <w:i w:val="0"/>
                <w:strike w:val="0"/>
                <w:color w:val="000000"/>
                <w:sz w:val="13"/>
                <w:u w:val="none"/>
                <w:vertAlign w:val="baseline"/>
              </w:rPr>
              <w:t>369</w:t>
            </w:r>
            <w:bookmarkStart w:id="781" w:name="XBRL_CE_797dc7dcd29d411e94433b35020bda27"/>
            <w:bookmarkEnd w:id="780"/>
            <w:bookmarkEnd w:id="781"/>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Exchange rate changes</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82" w:name="XBRL_CS_6fd739f14025463aa9331c8994ff16b6"/>
            <w:bookmarkEnd w:id="782"/>
            <w:bookmarkStart w:id="783" w:name="6fd739f14025463aa9331c8994ff16b6"/>
            <w:r>
              <w:rPr>
                <w:rFonts w:ascii="Arial" w:eastAsia="Arial" w:hAnsi="Arial" w:cs="Arial"/>
                <w:b/>
                <w:i w:val="0"/>
                <w:strike w:val="0"/>
                <w:color w:val="000000"/>
                <w:sz w:val="13"/>
                <w:u w:val="none"/>
                <w:vertAlign w:val="baseline"/>
              </w:rPr>
              <w:t>10</w:t>
            </w:r>
            <w:bookmarkStart w:id="784" w:name="XBRL_CE_6fd739f14025463aa9331c8994ff16b6"/>
            <w:bookmarkEnd w:id="783"/>
            <w:bookmarkEnd w:id="784"/>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85" w:name="XBRL_CS_ca0caa05a52c4a689309baa3981356c9"/>
            <w:bookmarkEnd w:id="785"/>
            <w:bookmarkStart w:id="786" w:name="ca0caa05a52c4a689309baa3981356c9"/>
            <w:r>
              <w:rPr>
                <w:rFonts w:ascii="Arial" w:eastAsia="Arial" w:hAnsi="Arial" w:cs="Arial"/>
                <w:b w:val="0"/>
                <w:i w:val="0"/>
                <w:strike w:val="0"/>
                <w:color w:val="000000"/>
                <w:sz w:val="13"/>
                <w:u w:val="none"/>
                <w:vertAlign w:val="baseline"/>
              </w:rPr>
              <w:t>-19</w:t>
            </w:r>
            <w:bookmarkStart w:id="787" w:name="XBRL_CE_ca0caa05a52c4a689309baa3981356c9"/>
            <w:bookmarkEnd w:id="786"/>
            <w:bookmarkEnd w:id="787"/>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and cash equivalents at the end of the financial period*</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88" w:name="XBRL_CS_7872e522db824127923233528d786550"/>
            <w:bookmarkEnd w:id="788"/>
            <w:bookmarkStart w:id="789" w:name="7872e522db824127923233528d786550"/>
            <w:r>
              <w:rPr>
                <w:rFonts w:ascii="Arial" w:eastAsia="Arial" w:hAnsi="Arial" w:cs="Arial"/>
                <w:b/>
                <w:i w:val="0"/>
                <w:strike w:val="0"/>
                <w:color w:val="000000"/>
                <w:sz w:val="13"/>
                <w:u w:val="none"/>
                <w:vertAlign w:val="baseline"/>
              </w:rPr>
              <w:t>964</w:t>
            </w:r>
            <w:bookmarkStart w:id="790" w:name="XBRL_CE_7872e522db824127923233528d786550"/>
            <w:bookmarkEnd w:id="789"/>
            <w:bookmarkEnd w:id="790"/>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91" w:name="XBRL_CS_a2febcb8af764fd8a8227596c0827d8a"/>
            <w:bookmarkEnd w:id="791"/>
            <w:bookmarkStart w:id="792" w:name="a2febcb8af764fd8a8227596c0827d8a"/>
            <w:r>
              <w:rPr>
                <w:rFonts w:ascii="Arial" w:eastAsia="Arial" w:hAnsi="Arial" w:cs="Arial"/>
                <w:b w:val="0"/>
                <w:i w:val="0"/>
                <w:strike w:val="0"/>
                <w:color w:val="000000"/>
                <w:sz w:val="13"/>
                <w:u w:val="none"/>
                <w:vertAlign w:val="baseline"/>
              </w:rPr>
              <w:t>932</w:t>
            </w:r>
            <w:bookmarkStart w:id="793" w:name="XBRL_CE_a2febcb8af764fd8a8227596c0827d8a"/>
            <w:bookmarkEnd w:id="792"/>
            <w:bookmarkEnd w:id="793"/>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bl>
    <w:p w:rsidR="00A31267" w:rsidP="005D1654" w14:paraId="646865A1" w14:textId="77777777">
      <w:pPr>
        <w:pStyle w:val="Bodytext2"/>
      </w:pPr>
      <w:bookmarkStart w:id="794" w:name="RG_MARKER_7385"/>
      <w:bookmarkEnd w:id="794"/>
    </w:p>
    <w:p w:rsidR="005D1654" w:rsidRPr="005D1654" w:rsidP="005D1654" w14:paraId="146B39A9" w14:textId="16FC81D9">
      <w:pPr>
        <w:pStyle w:val="Bodytext2"/>
      </w:pPr>
      <w:r w:rsidRPr="005D1654">
        <w:t>* Cash and cash equivalents include the cash and cash equivalents pertaining to assets held for sale.</w:t>
      </w:r>
    </w:p>
    <w:p w:rsidR="005D1654" w:rsidRPr="005D1654" w:rsidP="005D1654" w14:paraId="708FD558" w14:textId="77777777">
      <w:pPr>
        <w:pStyle w:val="Bodytext2"/>
      </w:pPr>
    </w:p>
    <w:p w:rsidR="00360AE7" w:rsidP="005D1654" w14:textId="2A055C7F">
      <w:pPr>
        <w:pStyle w:val="Bodytext2"/>
      </w:pPr>
      <w:r w:rsidRPr="005D1654">
        <w:t>The notes are an integral part of these consolidated financial statements.</w:t>
      </w:r>
      <w:r>
        <w:br w:type="page"/>
      </w:r>
    </w:p>
    <w:p w:rsidR="005D1654" w:rsidRPr="00EC5812" w:rsidP="005D1654" w14:paraId="2ABA40DD" w14:textId="77777777">
      <w:pPr>
        <w:pStyle w:val="Bodytext2"/>
        <w:rPr>
          <w:sz w:val="2"/>
          <w:szCs w:val="2"/>
        </w:rPr>
        <w:sectPr w:rsidSect="0096419A">
          <w:headerReference w:type="even" r:id="rId40"/>
          <w:headerReference w:type="default" r:id="rId41"/>
          <w:footerReference w:type="even" r:id="rId42"/>
          <w:footerReference w:type="default" r:id="rId43"/>
          <w:headerReference w:type="first" r:id="rId44"/>
          <w:footerReference w:type="first" r:id="rId45"/>
          <w:type w:val="continuous"/>
          <w:pgSz w:w="16838" w:h="11906" w:orient="landscape"/>
          <w:pgMar w:top="1814" w:right="737" w:bottom="1247" w:left="737" w:header="720" w:footer="720" w:gutter="0"/>
          <w:pgBorders w:zOrder="front" w:display="allPages" w:offsetFrom="text">
            <w:top w:val="nil"/>
            <w:left w:val="nil"/>
            <w:bottom w:val="nil"/>
            <w:right w:val="nil"/>
          </w:pgBorders>
          <w:cols w:num="2" w:space="624"/>
          <w:vAlign w:val="top"/>
          <w:titlePg w:val="0"/>
          <w:rtlGutter w:val="0"/>
          <w:docGrid w:linePitch="360"/>
        </w:sectPr>
      </w:pPr>
      <w:r>
        <w:t xml:space="preserve"> </w:t>
      </w:r>
    </w:p>
    <w:p w:rsidR="00F472E2" w:rsidP="00A462BD" w14:paraId="5C12751E" w14:textId="77777777">
      <w:pPr>
        <w:pStyle w:val="Heading105"/>
        <w:spacing w:after="120"/>
      </w:pPr>
      <w:bookmarkStart w:id="795" w:name="RG_MARKER_7352"/>
      <w:r>
        <w:t>CONSOLIDATED STATEMENT OF CHANGES IN EQUITY</w:t>
      </w:r>
      <w:bookmarkEnd w:id="795"/>
    </w:p>
    <w:p/>
    <w:tbl>
      <w:tblPr>
        <w:tblStyle w:val="CDMRange1"/>
        <w:tblW w:w="15300" w:type="dxa"/>
        <w:tblLayout w:type="fixed"/>
        <w:tblLook w:val="0600"/>
      </w:tblPr>
      <w:tblGrid>
        <w:gridCol w:w="3825"/>
        <w:gridCol w:w="1275"/>
        <w:gridCol w:w="1275"/>
        <w:gridCol w:w="1275"/>
        <w:gridCol w:w="1275"/>
        <w:gridCol w:w="1275"/>
        <w:gridCol w:w="1275"/>
        <w:gridCol w:w="1275"/>
        <w:gridCol w:w="1275"/>
        <w:gridCol w:w="1275"/>
      </w:tblGrid>
      <w:tr>
        <w:tblPrEx>
          <w:tblW w:w="15300" w:type="dxa"/>
          <w:tblLayout w:type="fixed"/>
          <w:tblLook w:val="0600"/>
        </w:tblPrEx>
        <w:trPr>
          <w:trHeight w:val="240"/>
        </w:trPr>
        <w:tc>
          <w:tcPr>
            <w:tcW w:w="38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925" w:type="dxa"/>
            <w:gridSpan w:val="7"/>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equity attributable to equity holders of the parent company</w:t>
            </w:r>
          </w:p>
        </w:tc>
        <w:tc>
          <w:tcPr>
            <w:tcW w:w="127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Non-controlling</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interests</w:t>
            </w:r>
          </w:p>
        </w:tc>
        <w:tc>
          <w:tcPr>
            <w:tcW w:w="127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Total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equity</w:t>
            </w: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Share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capital</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Share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premium</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Translation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difference</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Fair value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reserve</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Remeasurements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of defined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benefit liabilities</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Retained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earnings</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8" w:space="0" w:color="0F172B"/>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Equity on 1 January 2021</w:t>
            </w:r>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96" w:name="XBRL_CS_5dc68ec25aa846978244c1fa8a8d0cd0"/>
            <w:bookmarkEnd w:id="796"/>
            <w:bookmarkStart w:id="797" w:name="5dc68ec25aa846978244c1fa8a8d0cd0"/>
            <w:r>
              <w:rPr>
                <w:rFonts w:ascii="Arial" w:eastAsia="Arial" w:hAnsi="Arial" w:cs="Arial"/>
                <w:b/>
                <w:i w:val="0"/>
                <w:strike w:val="0"/>
                <w:color w:val="000000"/>
                <w:sz w:val="13"/>
                <w:u w:val="none"/>
                <w:vertAlign w:val="baseline"/>
              </w:rPr>
              <w:t>336</w:t>
            </w:r>
            <w:bookmarkStart w:id="798" w:name="XBRL_CE_5dc68ec25aa846978244c1fa8a8d0cd0"/>
            <w:bookmarkEnd w:id="797"/>
            <w:bookmarkEnd w:id="798"/>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99" w:name="XBRL_CS_d4cc7552d4b84ad8ab08e4abb60b4186"/>
            <w:bookmarkEnd w:id="799"/>
            <w:bookmarkStart w:id="800" w:name="d4cc7552d4b84ad8ab08e4abb60b4186"/>
            <w:r>
              <w:rPr>
                <w:rFonts w:ascii="Arial" w:eastAsia="Arial" w:hAnsi="Arial" w:cs="Arial"/>
                <w:b/>
                <w:i w:val="0"/>
                <w:strike w:val="0"/>
                <w:color w:val="000000"/>
                <w:sz w:val="13"/>
                <w:u w:val="none"/>
                <w:vertAlign w:val="baseline"/>
              </w:rPr>
              <w:t>61</w:t>
            </w:r>
            <w:bookmarkStart w:id="801" w:name="XBRL_CE_d4cc7552d4b84ad8ab08e4abb60b4186"/>
            <w:bookmarkEnd w:id="800"/>
            <w:bookmarkEnd w:id="801"/>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02" w:name="XBRL_CS_1926f6ca6c454be6a40e4d2ae3715650"/>
            <w:bookmarkEnd w:id="802"/>
            <w:bookmarkStart w:id="803" w:name="1926f6ca6c454be6a40e4d2ae3715650"/>
            <w:r>
              <w:rPr>
                <w:rFonts w:ascii="Arial" w:eastAsia="Arial" w:hAnsi="Arial" w:cs="Arial"/>
                <w:b/>
                <w:i w:val="0"/>
                <w:strike w:val="0"/>
                <w:color w:val="000000"/>
                <w:sz w:val="13"/>
                <w:u w:val="none"/>
                <w:vertAlign w:val="baseline"/>
              </w:rPr>
              <w:t>-197</w:t>
            </w:r>
            <w:bookmarkStart w:id="804" w:name="XBRL_CE_1926f6ca6c454be6a40e4d2ae3715650"/>
            <w:bookmarkEnd w:id="803"/>
            <w:bookmarkEnd w:id="804"/>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05" w:name="XBRL_CS_6ef09fc2270c4d36a9819bd290851eb6"/>
            <w:bookmarkEnd w:id="805"/>
            <w:bookmarkStart w:id="806" w:name="6ef09fc2270c4d36a9819bd290851eb6"/>
            <w:r>
              <w:rPr>
                <w:rFonts w:ascii="Arial" w:eastAsia="Arial" w:hAnsi="Arial" w:cs="Arial"/>
                <w:b/>
                <w:i w:val="0"/>
                <w:strike w:val="0"/>
                <w:color w:val="000000"/>
                <w:sz w:val="13"/>
                <w:u w:val="none"/>
                <w:vertAlign w:val="baseline"/>
              </w:rPr>
              <w:t>-9</w:t>
            </w:r>
            <w:bookmarkStart w:id="807" w:name="XBRL_CE_6ef09fc2270c4d36a9819bd290851eb6"/>
            <w:bookmarkEnd w:id="806"/>
            <w:bookmarkEnd w:id="807"/>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08" w:name="XBRL_CS_ae516ef41ce84f42ba2c8e4505710308"/>
            <w:bookmarkEnd w:id="808"/>
            <w:bookmarkStart w:id="809" w:name="ae516ef41ce84f42ba2c8e4505710308"/>
            <w:r>
              <w:rPr>
                <w:rFonts w:ascii="Arial" w:eastAsia="Arial" w:hAnsi="Arial" w:cs="Arial"/>
                <w:b/>
                <w:i w:val="0"/>
                <w:strike w:val="0"/>
                <w:color w:val="000000"/>
                <w:sz w:val="13"/>
                <w:u w:val="none"/>
                <w:vertAlign w:val="baseline"/>
              </w:rPr>
              <w:t>-45</w:t>
            </w:r>
            <w:bookmarkStart w:id="810" w:name="XBRL_CE_ae516ef41ce84f42ba2c8e4505710308"/>
            <w:bookmarkEnd w:id="809"/>
            <w:bookmarkEnd w:id="810"/>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11" w:name="XBRL_CS_7bac6fdd5df942e4a792aec52926c874"/>
            <w:bookmarkEnd w:id="811"/>
            <w:bookmarkStart w:id="812" w:name="7bac6fdd5df942e4a792aec52926c874"/>
            <w:r>
              <w:rPr>
                <w:rFonts w:ascii="Arial" w:eastAsia="Arial" w:hAnsi="Arial" w:cs="Arial"/>
                <w:b/>
                <w:i w:val="0"/>
                <w:strike w:val="0"/>
                <w:color w:val="000000"/>
                <w:sz w:val="13"/>
                <w:u w:val="none"/>
                <w:vertAlign w:val="baseline"/>
              </w:rPr>
              <w:t>2,030</w:t>
            </w:r>
            <w:bookmarkStart w:id="813" w:name="XBRL_CE_7bac6fdd5df942e4a792aec52926c874"/>
            <w:bookmarkEnd w:id="812"/>
            <w:bookmarkEnd w:id="813"/>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14" w:name="XBRL_CS_f72b4e1e7f4649b0a128abcd24567ddb"/>
            <w:bookmarkEnd w:id="814"/>
            <w:bookmarkStart w:id="815" w:name="f72b4e1e7f4649b0a128abcd24567ddb"/>
            <w:r>
              <w:rPr>
                <w:rFonts w:ascii="Arial" w:eastAsia="Arial" w:hAnsi="Arial" w:cs="Arial"/>
                <w:b/>
                <w:i w:val="0"/>
                <w:strike w:val="0"/>
                <w:color w:val="000000"/>
                <w:sz w:val="13"/>
                <w:u w:val="none"/>
                <w:vertAlign w:val="baseline"/>
              </w:rPr>
              <w:t>2,177</w:t>
            </w:r>
            <w:bookmarkStart w:id="816" w:name="XBRL_CE_f72b4e1e7f4649b0a128abcd24567ddb"/>
            <w:bookmarkEnd w:id="815"/>
            <w:bookmarkEnd w:id="816"/>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17" w:name="XBRL_CS_413d2ad6f3b94c44b15c1c60cc300c92"/>
            <w:bookmarkEnd w:id="817"/>
            <w:bookmarkStart w:id="818" w:name="413d2ad6f3b94c44b15c1c60cc300c92"/>
            <w:r>
              <w:rPr>
                <w:rFonts w:ascii="Arial" w:eastAsia="Arial" w:hAnsi="Arial" w:cs="Arial"/>
                <w:b/>
                <w:i w:val="0"/>
                <w:strike w:val="0"/>
                <w:color w:val="000000"/>
                <w:sz w:val="13"/>
                <w:u w:val="none"/>
                <w:vertAlign w:val="baseline"/>
              </w:rPr>
              <w:t>11</w:t>
            </w:r>
            <w:bookmarkStart w:id="819" w:name="XBRL_CE_413d2ad6f3b94c44b15c1c60cc300c92"/>
            <w:bookmarkEnd w:id="818"/>
            <w:bookmarkEnd w:id="819"/>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20" w:name="XBRL_CS_ddaa3afcbec9452990025c9995af9fe5"/>
            <w:bookmarkEnd w:id="820"/>
            <w:bookmarkStart w:id="821" w:name="ddaa3afcbec9452990025c9995af9fe5"/>
            <w:r>
              <w:rPr>
                <w:rFonts w:ascii="Arial" w:eastAsia="Arial" w:hAnsi="Arial" w:cs="Arial"/>
                <w:b/>
                <w:i w:val="0"/>
                <w:strike w:val="0"/>
                <w:color w:val="000000"/>
                <w:sz w:val="13"/>
                <w:u w:val="none"/>
                <w:vertAlign w:val="baseline"/>
              </w:rPr>
              <w:t>2,188</w:t>
            </w:r>
            <w:bookmarkStart w:id="822" w:name="XBRL_CE_ddaa3afcbec9452990025c9995af9fe5"/>
            <w:bookmarkEnd w:id="821"/>
            <w:bookmarkEnd w:id="822"/>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Translation differences</w:t>
            </w: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23" w:name="XBRL_CS_aebf6468024b43d3b0206df9d164a4ea"/>
            <w:bookmarkEnd w:id="823"/>
            <w:bookmarkStart w:id="824" w:name="aebf6468024b43d3b0206df9d164a4ea"/>
            <w:bookmarkStart w:id="825" w:name="XBRL_CE_aebf6468024b43d3b0206df9d164a4ea"/>
            <w:bookmarkEnd w:id="824"/>
            <w:bookmarkEnd w:id="825"/>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26" w:name="XBRL_CS_ba9b715dc6bb41208c04dc3906c9cbb5"/>
            <w:bookmarkEnd w:id="826"/>
            <w:bookmarkStart w:id="827" w:name="ba9b715dc6bb41208c04dc3906c9cbb5"/>
            <w:bookmarkStart w:id="828" w:name="XBRL_CE_ba9b715dc6bb41208c04dc3906c9cbb5"/>
            <w:bookmarkEnd w:id="827"/>
            <w:bookmarkEnd w:id="828"/>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29" w:name="XBRL_CS_87c252917b424b59918970f0920a57bf"/>
            <w:bookmarkEnd w:id="829"/>
            <w:bookmarkStart w:id="830" w:name="87c252917b424b59918970f0920a57bf"/>
            <w:r>
              <w:rPr>
                <w:rFonts w:ascii="Arial" w:eastAsia="Arial" w:hAnsi="Arial" w:cs="Arial"/>
                <w:b/>
                <w:i w:val="0"/>
                <w:strike w:val="0"/>
                <w:color w:val="000000"/>
                <w:sz w:val="13"/>
                <w:u w:val="none"/>
                <w:vertAlign w:val="baseline"/>
              </w:rPr>
              <w:t>74</w:t>
            </w:r>
            <w:bookmarkStart w:id="831" w:name="XBRL_CE_87c252917b424b59918970f0920a57bf"/>
            <w:bookmarkEnd w:id="830"/>
            <w:bookmarkEnd w:id="831"/>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32" w:name="XBRL_CS_5b7dc572049942cab86b419f55d8e069"/>
            <w:bookmarkEnd w:id="832"/>
            <w:bookmarkStart w:id="833" w:name="5b7dc572049942cab86b419f55d8e069"/>
            <w:bookmarkStart w:id="834" w:name="XBRL_CE_5b7dc572049942cab86b419f55d8e069"/>
            <w:bookmarkEnd w:id="833"/>
            <w:bookmarkEnd w:id="834"/>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35" w:name="XBRL_CS_2442a4fae67049e8a374a88bb4f71429"/>
            <w:bookmarkEnd w:id="835"/>
            <w:bookmarkStart w:id="836" w:name="2442a4fae67049e8a374a88bb4f71429"/>
            <w:bookmarkStart w:id="837" w:name="XBRL_CE_2442a4fae67049e8a374a88bb4f71429"/>
            <w:bookmarkEnd w:id="836"/>
            <w:bookmarkEnd w:id="837"/>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38" w:name="XBRL_CS_fba85df0f42e465b8838b3794fd7e781"/>
            <w:bookmarkEnd w:id="838"/>
            <w:bookmarkStart w:id="839" w:name="fba85df0f42e465b8838b3794fd7e781"/>
            <w:bookmarkStart w:id="840" w:name="XBRL_CE_fba85df0f42e465b8838b3794fd7e781"/>
            <w:bookmarkEnd w:id="839"/>
            <w:bookmarkEnd w:id="840"/>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41" w:name="XBRL_CS_8efe61fcd6ed4042954a4309bf51855e"/>
            <w:bookmarkEnd w:id="841"/>
            <w:bookmarkStart w:id="842" w:name="8efe61fcd6ed4042954a4309bf51855e"/>
            <w:r>
              <w:rPr>
                <w:rFonts w:ascii="Arial" w:eastAsia="Arial" w:hAnsi="Arial" w:cs="Arial"/>
                <w:b/>
                <w:i w:val="0"/>
                <w:strike w:val="0"/>
                <w:color w:val="000000"/>
                <w:sz w:val="13"/>
                <w:u w:val="none"/>
                <w:vertAlign w:val="baseline"/>
              </w:rPr>
              <w:t>74</w:t>
            </w:r>
            <w:bookmarkStart w:id="843" w:name="XBRL_CE_8efe61fcd6ed4042954a4309bf51855e"/>
            <w:bookmarkEnd w:id="842"/>
            <w:bookmarkEnd w:id="843"/>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44" w:name="XBRL_CS_da19f8ec541a4845a07b38a284b0d0a0"/>
            <w:bookmarkEnd w:id="844"/>
            <w:bookmarkStart w:id="845" w:name="da19f8ec541a4845a07b38a284b0d0a0"/>
            <w:r>
              <w:rPr>
                <w:rFonts w:ascii="Arial" w:eastAsia="Arial" w:hAnsi="Arial" w:cs="Arial"/>
                <w:b/>
                <w:i w:val="0"/>
                <w:strike w:val="0"/>
                <w:color w:val="000000"/>
                <w:sz w:val="13"/>
                <w:u w:val="none"/>
                <w:vertAlign w:val="baseline"/>
              </w:rPr>
              <w:t>-1</w:t>
            </w:r>
            <w:bookmarkStart w:id="846" w:name="XBRL_CE_da19f8ec541a4845a07b38a284b0d0a0"/>
            <w:bookmarkEnd w:id="845"/>
            <w:bookmarkEnd w:id="846"/>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47" w:name="XBRL_CS_fb815a08b68941c48e95513ce5c5c573"/>
            <w:bookmarkEnd w:id="847"/>
            <w:bookmarkStart w:id="848" w:name="fb815a08b68941c48e95513ce5c5c573"/>
            <w:r>
              <w:rPr>
                <w:rFonts w:ascii="Arial" w:eastAsia="Arial" w:hAnsi="Arial" w:cs="Arial"/>
                <w:b/>
                <w:i w:val="0"/>
                <w:strike w:val="0"/>
                <w:color w:val="000000"/>
                <w:sz w:val="13"/>
                <w:u w:val="none"/>
                <w:vertAlign w:val="baseline"/>
              </w:rPr>
              <w:t>74</w:t>
            </w:r>
            <w:bookmarkStart w:id="849" w:name="XBRL_CE_fb815a08b68941c48e95513ce5c5c573"/>
            <w:bookmarkEnd w:id="848"/>
            <w:bookmarkEnd w:id="849"/>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nil"/>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flow hedges</w:t>
            </w:r>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auto" w:fill="auto"/>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net change in fair value, net of taxes</w:t>
            </w: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50" w:name="XBRL_CS_55e2277071ca44aba30d8cb46f593c90"/>
            <w:bookmarkEnd w:id="850"/>
            <w:bookmarkStart w:id="851" w:name="55e2277071ca44aba30d8cb46f593c90"/>
            <w:bookmarkStart w:id="852" w:name="XBRL_CE_55e2277071ca44aba30d8cb46f593c90"/>
            <w:bookmarkEnd w:id="851"/>
            <w:bookmarkEnd w:id="852"/>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53" w:name="XBRL_CS_52e70fde217b407ea7a36ff2f1a7cfce"/>
            <w:bookmarkEnd w:id="853"/>
            <w:bookmarkStart w:id="854" w:name="52e70fde217b407ea7a36ff2f1a7cfce"/>
            <w:bookmarkStart w:id="855" w:name="XBRL_CE_52e70fde217b407ea7a36ff2f1a7cfce"/>
            <w:bookmarkEnd w:id="854"/>
            <w:bookmarkEnd w:id="855"/>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56" w:name="XBRL_CS_7287c921aa1041babc697e0df6ad79f1"/>
            <w:bookmarkEnd w:id="856"/>
            <w:bookmarkStart w:id="857" w:name="7287c921aa1041babc697e0df6ad79f1"/>
            <w:bookmarkStart w:id="858" w:name="XBRL_CE_7287c921aa1041babc697e0df6ad79f1"/>
            <w:bookmarkEnd w:id="857"/>
            <w:bookmarkEnd w:id="858"/>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59" w:name="XBRL_CS_28c07d6617d546a69f1740b4832bdda0"/>
            <w:bookmarkEnd w:id="859"/>
            <w:bookmarkStart w:id="860" w:name="28c07d6617d546a69f1740b4832bdda0"/>
            <w:r>
              <w:rPr>
                <w:rFonts w:ascii="Arial" w:eastAsia="Arial" w:hAnsi="Arial" w:cs="Arial"/>
                <w:b/>
                <w:i w:val="0"/>
                <w:strike w:val="0"/>
                <w:color w:val="000000"/>
                <w:sz w:val="13"/>
                <w:u w:val="none"/>
                <w:vertAlign w:val="baseline"/>
              </w:rPr>
              <w:t>-11</w:t>
            </w:r>
            <w:bookmarkStart w:id="861" w:name="XBRL_CE_28c07d6617d546a69f1740b4832bdda0"/>
            <w:bookmarkEnd w:id="860"/>
            <w:bookmarkEnd w:id="861"/>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62" w:name="XBRL_CS_0c0132b638e1427f834d0ed6b3f981b1"/>
            <w:bookmarkEnd w:id="862"/>
            <w:bookmarkStart w:id="863" w:name="0c0132b638e1427f834d0ed6b3f981b1"/>
            <w:bookmarkStart w:id="864" w:name="XBRL_CE_0c0132b638e1427f834d0ed6b3f981b1"/>
            <w:bookmarkEnd w:id="863"/>
            <w:bookmarkEnd w:id="864"/>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65" w:name="XBRL_CS_da53bb30c4b64b9e88ff9d56e174ef09"/>
            <w:bookmarkEnd w:id="865"/>
            <w:bookmarkStart w:id="866" w:name="da53bb30c4b64b9e88ff9d56e174ef09"/>
            <w:bookmarkStart w:id="867" w:name="XBRL_CE_da53bb30c4b64b9e88ff9d56e174ef09"/>
            <w:bookmarkEnd w:id="866"/>
            <w:bookmarkEnd w:id="867"/>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68" w:name="XBRL_CS_47f8b01bb8d9490297070ee548f326fa"/>
            <w:bookmarkEnd w:id="868"/>
            <w:bookmarkStart w:id="869" w:name="47f8b01bb8d9490297070ee548f326fa"/>
            <w:r>
              <w:rPr>
                <w:rFonts w:ascii="Arial" w:eastAsia="Arial" w:hAnsi="Arial" w:cs="Arial"/>
                <w:b/>
                <w:i w:val="0"/>
                <w:strike w:val="0"/>
                <w:color w:val="000000"/>
                <w:sz w:val="13"/>
                <w:u w:val="none"/>
                <w:vertAlign w:val="baseline"/>
              </w:rPr>
              <w:t>-11</w:t>
            </w:r>
            <w:bookmarkStart w:id="870" w:name="XBRL_CE_47f8b01bb8d9490297070ee548f326fa"/>
            <w:bookmarkEnd w:id="869"/>
            <w:bookmarkEnd w:id="870"/>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71" w:name="XBRL_CS_41e791595c8b4cd192c02932782f804c"/>
            <w:bookmarkEnd w:id="871"/>
            <w:bookmarkStart w:id="872" w:name="41e791595c8b4cd192c02932782f804c"/>
            <w:bookmarkStart w:id="873" w:name="XBRL_CE_41e791595c8b4cd192c02932782f804c"/>
            <w:bookmarkEnd w:id="872"/>
            <w:bookmarkEnd w:id="873"/>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74" w:name="XBRL_CS_ca5269a501fa4f919b935fba523b040a"/>
            <w:bookmarkEnd w:id="874"/>
            <w:bookmarkStart w:id="875" w:name="ca5269a501fa4f919b935fba523b040a"/>
            <w:r>
              <w:rPr>
                <w:rFonts w:ascii="Arial" w:eastAsia="Arial" w:hAnsi="Arial" w:cs="Arial"/>
                <w:b/>
                <w:i w:val="0"/>
                <w:strike w:val="0"/>
                <w:color w:val="000000"/>
                <w:sz w:val="13"/>
                <w:u w:val="none"/>
                <w:vertAlign w:val="baseline"/>
              </w:rPr>
              <w:t>-11</w:t>
            </w:r>
            <w:bookmarkStart w:id="876" w:name="XBRL_CE_ca5269a501fa4f919b935fba523b040a"/>
            <w:bookmarkEnd w:id="875"/>
            <w:bookmarkEnd w:id="876"/>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auto" w:fill="auto"/>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transferred to the statement of income, net of taxes</w:t>
            </w: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77" w:name="XBRL_CS_f400103e69024513b68d4918aed4c29e"/>
            <w:bookmarkEnd w:id="877"/>
            <w:bookmarkStart w:id="878" w:name="f400103e69024513b68d4918aed4c29e"/>
            <w:bookmarkStart w:id="879" w:name="XBRL_CE_f400103e69024513b68d4918aed4c29e"/>
            <w:bookmarkEnd w:id="878"/>
            <w:bookmarkEnd w:id="879"/>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80" w:name="XBRL_CS_487068ac9b714e44bdd1ebf8541c8933"/>
            <w:bookmarkEnd w:id="880"/>
            <w:bookmarkStart w:id="881" w:name="487068ac9b714e44bdd1ebf8541c8933"/>
            <w:bookmarkStart w:id="882" w:name="XBRL_CE_487068ac9b714e44bdd1ebf8541c8933"/>
            <w:bookmarkEnd w:id="881"/>
            <w:bookmarkEnd w:id="882"/>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83" w:name="XBRL_CS_7418e4441cd34c8cb93b97628ed77800"/>
            <w:bookmarkEnd w:id="883"/>
            <w:bookmarkStart w:id="884" w:name="7418e4441cd34c8cb93b97628ed77800"/>
            <w:bookmarkStart w:id="885" w:name="XBRL_CE_7418e4441cd34c8cb93b97628ed77800"/>
            <w:bookmarkEnd w:id="884"/>
            <w:bookmarkEnd w:id="885"/>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86" w:name="XBRL_CS_6e9cd90cf8dd400ea2ba29781908ddb9"/>
            <w:bookmarkEnd w:id="886"/>
            <w:bookmarkStart w:id="887" w:name="6e9cd90cf8dd400ea2ba29781908ddb9"/>
            <w:r>
              <w:rPr>
                <w:rFonts w:ascii="Arial" w:eastAsia="Arial" w:hAnsi="Arial" w:cs="Arial"/>
                <w:b/>
                <w:i w:val="0"/>
                <w:strike w:val="0"/>
                <w:color w:val="000000"/>
                <w:sz w:val="13"/>
                <w:u w:val="none"/>
                <w:vertAlign w:val="baseline"/>
              </w:rPr>
              <w:t>2</w:t>
            </w:r>
            <w:bookmarkStart w:id="888" w:name="XBRL_CE_6e9cd90cf8dd400ea2ba29781908ddb9"/>
            <w:bookmarkEnd w:id="887"/>
            <w:bookmarkEnd w:id="888"/>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89" w:name="XBRL_CS_e94f0ae73b24465a9c964dd990ca5801"/>
            <w:bookmarkEnd w:id="889"/>
            <w:bookmarkStart w:id="890" w:name="e94f0ae73b24465a9c964dd990ca5801"/>
            <w:bookmarkStart w:id="891" w:name="XBRL_CE_e94f0ae73b24465a9c964dd990ca5801"/>
            <w:bookmarkEnd w:id="890"/>
            <w:bookmarkEnd w:id="891"/>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92" w:name="XBRL_CS_9f8ac23d45704a32be686a9f1ed6611c"/>
            <w:bookmarkEnd w:id="892"/>
            <w:bookmarkStart w:id="893" w:name="9f8ac23d45704a32be686a9f1ed6611c"/>
            <w:bookmarkStart w:id="894" w:name="XBRL_CE_9f8ac23d45704a32be686a9f1ed6611c"/>
            <w:bookmarkEnd w:id="893"/>
            <w:bookmarkEnd w:id="894"/>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95" w:name="XBRL_CS_3495f7f96c474224a43e4340e0936f18"/>
            <w:bookmarkEnd w:id="895"/>
            <w:bookmarkStart w:id="896" w:name="3495f7f96c474224a43e4340e0936f18"/>
            <w:r>
              <w:rPr>
                <w:rFonts w:ascii="Arial" w:eastAsia="Arial" w:hAnsi="Arial" w:cs="Arial"/>
                <w:b/>
                <w:i w:val="0"/>
                <w:strike w:val="0"/>
                <w:color w:val="000000"/>
                <w:sz w:val="13"/>
                <w:u w:val="none"/>
                <w:vertAlign w:val="baseline"/>
              </w:rPr>
              <w:t>2</w:t>
            </w:r>
            <w:bookmarkStart w:id="897" w:name="XBRL_CE_3495f7f96c474224a43e4340e0936f18"/>
            <w:bookmarkEnd w:id="896"/>
            <w:bookmarkEnd w:id="897"/>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98" w:name="XBRL_CS_b5283220838848eca16e90fddfe71916"/>
            <w:bookmarkEnd w:id="898"/>
            <w:bookmarkStart w:id="899" w:name="b5283220838848eca16e90fddfe71916"/>
            <w:bookmarkStart w:id="900" w:name="XBRL_CE_b5283220838848eca16e90fddfe71916"/>
            <w:bookmarkEnd w:id="899"/>
            <w:bookmarkEnd w:id="900"/>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01" w:name="XBRL_CS_b3c5a49799884ce190aa12777775f33d"/>
            <w:bookmarkEnd w:id="901"/>
            <w:bookmarkStart w:id="902" w:name="b3c5a49799884ce190aa12777775f33d"/>
            <w:r>
              <w:rPr>
                <w:rFonts w:ascii="Arial" w:eastAsia="Arial" w:hAnsi="Arial" w:cs="Arial"/>
                <w:b/>
                <w:i w:val="0"/>
                <w:strike w:val="0"/>
                <w:color w:val="000000"/>
                <w:sz w:val="13"/>
                <w:u w:val="none"/>
                <w:vertAlign w:val="baseline"/>
              </w:rPr>
              <w:t>2</w:t>
            </w:r>
            <w:bookmarkStart w:id="903" w:name="XBRL_CE_b3c5a49799884ce190aa12777775f33d"/>
            <w:bookmarkEnd w:id="902"/>
            <w:bookmarkEnd w:id="903"/>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Defined benefit plans</w:t>
            </w:r>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04" w:name="XBRL_CS_2862436a764546a484a8063d0e8166e7"/>
            <w:bookmarkEnd w:id="904"/>
            <w:bookmarkStart w:id="905" w:name="2862436a764546a484a8063d0e8166e7"/>
            <w:bookmarkStart w:id="906" w:name="XBRL_CE_2862436a764546a484a8063d0e8166e7"/>
            <w:bookmarkEnd w:id="905"/>
            <w:bookmarkEnd w:id="906"/>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07" w:name="XBRL_CS_075bf11016264da1b3d43a4c080f8c4f"/>
            <w:bookmarkEnd w:id="907"/>
            <w:bookmarkStart w:id="908" w:name="075bf11016264da1b3d43a4c080f8c4f"/>
            <w:bookmarkStart w:id="909" w:name="XBRL_CE_075bf11016264da1b3d43a4c080f8c4f"/>
            <w:bookmarkEnd w:id="908"/>
            <w:bookmarkEnd w:id="909"/>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10" w:name="XBRL_CS_3e6bb6513919474b87fada3507327ae8"/>
            <w:bookmarkEnd w:id="910"/>
            <w:bookmarkStart w:id="911" w:name="3e6bb6513919474b87fada3507327ae8"/>
            <w:bookmarkStart w:id="912" w:name="XBRL_CE_3e6bb6513919474b87fada3507327ae8"/>
            <w:bookmarkEnd w:id="911"/>
            <w:bookmarkEnd w:id="912"/>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13" w:name="XBRL_CS_27b4813da80b4e29aa6b58bbbf0d6ba0"/>
            <w:bookmarkEnd w:id="913"/>
            <w:bookmarkStart w:id="914" w:name="27b4813da80b4e29aa6b58bbbf0d6ba0"/>
            <w:bookmarkStart w:id="915" w:name="XBRL_CE_27b4813da80b4e29aa6b58bbbf0d6ba0"/>
            <w:bookmarkEnd w:id="914"/>
            <w:bookmarkEnd w:id="915"/>
          </w:p>
        </w:tc>
        <w:tc>
          <w:tcPr>
            <w:tcW w:w="127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16" w:name="XBRL_CS_ff7fc553134d436bb0533b6c63b9a100"/>
            <w:bookmarkEnd w:id="916"/>
            <w:bookmarkStart w:id="917" w:name="ff7fc553134d436bb0533b6c63b9a100"/>
            <w:r>
              <w:rPr>
                <w:rFonts w:ascii="Arial" w:eastAsia="Arial" w:hAnsi="Arial" w:cs="Arial"/>
                <w:b/>
                <w:i w:val="0"/>
                <w:strike w:val="0"/>
                <w:color w:val="000000"/>
                <w:sz w:val="13"/>
                <w:u w:val="none"/>
                <w:vertAlign w:val="baseline"/>
              </w:rPr>
              <w:t>9</w:t>
            </w:r>
            <w:bookmarkStart w:id="918" w:name="XBRL_CE_ff7fc553134d436bb0533b6c63b9a100"/>
            <w:bookmarkEnd w:id="917"/>
            <w:bookmarkEnd w:id="918"/>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19" w:name="XBRL_CS_a1faf273910347a5be650a5934fb8b55"/>
            <w:bookmarkEnd w:id="919"/>
            <w:bookmarkStart w:id="920" w:name="a1faf273910347a5be650a5934fb8b55"/>
            <w:bookmarkStart w:id="921" w:name="XBRL_CE_a1faf273910347a5be650a5934fb8b55"/>
            <w:bookmarkEnd w:id="920"/>
            <w:bookmarkEnd w:id="921"/>
          </w:p>
        </w:tc>
        <w:tc>
          <w:tcPr>
            <w:tcW w:w="127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22" w:name="XBRL_CS_fe56cccfbdb04d34951aedbdc4b78253"/>
            <w:bookmarkEnd w:id="922"/>
            <w:bookmarkStart w:id="923" w:name="fe56cccfbdb04d34951aedbdc4b78253"/>
            <w:r>
              <w:rPr>
                <w:rFonts w:ascii="Arial" w:eastAsia="Arial" w:hAnsi="Arial" w:cs="Arial"/>
                <w:b/>
                <w:i w:val="0"/>
                <w:strike w:val="0"/>
                <w:color w:val="000000"/>
                <w:sz w:val="13"/>
                <w:u w:val="none"/>
                <w:vertAlign w:val="baseline"/>
              </w:rPr>
              <w:t>9</w:t>
            </w:r>
            <w:bookmarkStart w:id="924" w:name="XBRL_CE_fe56cccfbdb04d34951aedbdc4b78253"/>
            <w:bookmarkEnd w:id="923"/>
            <w:bookmarkEnd w:id="924"/>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25" w:name="XBRL_CS_9b02eac6ea1e43c6aa5a30b89f73ea12"/>
            <w:bookmarkEnd w:id="925"/>
            <w:bookmarkStart w:id="926" w:name="9b02eac6ea1e43c6aa5a30b89f73ea12"/>
            <w:bookmarkStart w:id="927" w:name="XBRL_CE_9b02eac6ea1e43c6aa5a30b89f73ea12"/>
            <w:bookmarkEnd w:id="926"/>
            <w:bookmarkEnd w:id="927"/>
          </w:p>
        </w:tc>
        <w:tc>
          <w:tcPr>
            <w:tcW w:w="127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28" w:name="XBRL_CS_9db8aed91ca14a08bf81db6c09eb7a4a"/>
            <w:bookmarkEnd w:id="928"/>
            <w:bookmarkStart w:id="929" w:name="9db8aed91ca14a08bf81db6c09eb7a4a"/>
            <w:r>
              <w:rPr>
                <w:rFonts w:ascii="Arial" w:eastAsia="Arial" w:hAnsi="Arial" w:cs="Arial"/>
                <w:b/>
                <w:i w:val="0"/>
                <w:strike w:val="0"/>
                <w:color w:val="000000"/>
                <w:sz w:val="13"/>
                <w:u w:val="none"/>
                <w:vertAlign w:val="baseline"/>
              </w:rPr>
              <w:t>9</w:t>
            </w:r>
            <w:bookmarkStart w:id="930" w:name="XBRL_CE_9db8aed91ca14a08bf81db6c09eb7a4a"/>
            <w:bookmarkEnd w:id="929"/>
            <w:bookmarkEnd w:id="930"/>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nil"/>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Other comprehensive income</w:t>
            </w:r>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31" w:name="XBRL_CS_6fb375d00bae4c40bdd271b796ac895b"/>
            <w:bookmarkEnd w:id="931"/>
            <w:bookmarkStart w:id="932" w:name="6fb375d00bae4c40bdd271b796ac895b"/>
            <w:bookmarkStart w:id="933" w:name="XBRL_CE_6fb375d00bae4c40bdd271b796ac895b"/>
            <w:bookmarkEnd w:id="932"/>
            <w:bookmarkEnd w:id="933"/>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34" w:name="XBRL_CS_f641d7e394fe4524bb1e93813e80f9ae"/>
            <w:bookmarkEnd w:id="934"/>
            <w:bookmarkStart w:id="935" w:name="f641d7e394fe4524bb1e93813e80f9ae"/>
            <w:bookmarkStart w:id="936" w:name="XBRL_CE_f641d7e394fe4524bb1e93813e80f9ae"/>
            <w:bookmarkEnd w:id="935"/>
            <w:bookmarkEnd w:id="936"/>
          </w:p>
        </w:tc>
        <w:tc>
          <w:tcPr>
            <w:tcW w:w="127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37" w:name="XBRL_CS_410f794413974a42b83465420dd173d7"/>
            <w:bookmarkEnd w:id="937"/>
            <w:bookmarkStart w:id="938" w:name="410f794413974a42b83465420dd173d7"/>
            <w:r>
              <w:rPr>
                <w:rFonts w:ascii="Arial" w:eastAsia="Arial" w:hAnsi="Arial" w:cs="Arial"/>
                <w:b/>
                <w:i w:val="0"/>
                <w:strike w:val="0"/>
                <w:color w:val="000000"/>
                <w:sz w:val="13"/>
                <w:u w:val="none"/>
                <w:vertAlign w:val="baseline"/>
              </w:rPr>
              <w:t>74</w:t>
            </w:r>
            <w:bookmarkStart w:id="939" w:name="XBRL_CE_410f794413974a42b83465420dd173d7"/>
            <w:bookmarkEnd w:id="938"/>
            <w:bookmarkEnd w:id="939"/>
          </w:p>
        </w:tc>
        <w:tc>
          <w:tcPr>
            <w:tcW w:w="127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40" w:name="XBRL_CS_cd6886d8a27741a7a638bf915dfd844c"/>
            <w:bookmarkEnd w:id="940"/>
            <w:bookmarkStart w:id="941" w:name="cd6886d8a27741a7a638bf915dfd844c"/>
            <w:r>
              <w:rPr>
                <w:rFonts w:ascii="Arial" w:eastAsia="Arial" w:hAnsi="Arial" w:cs="Arial"/>
                <w:b/>
                <w:i w:val="0"/>
                <w:strike w:val="0"/>
                <w:color w:val="000000"/>
                <w:sz w:val="13"/>
                <w:u w:val="none"/>
                <w:vertAlign w:val="baseline"/>
              </w:rPr>
              <w:t>-9</w:t>
            </w:r>
            <w:bookmarkStart w:id="942" w:name="XBRL_CE_cd6886d8a27741a7a638bf915dfd844c"/>
            <w:bookmarkEnd w:id="941"/>
            <w:bookmarkEnd w:id="942"/>
          </w:p>
        </w:tc>
        <w:tc>
          <w:tcPr>
            <w:tcW w:w="127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43" w:name="XBRL_CS_e83cd3764b044a9d864e9c27ad8bbc49"/>
            <w:bookmarkEnd w:id="943"/>
            <w:bookmarkStart w:id="944" w:name="e83cd3764b044a9d864e9c27ad8bbc49"/>
            <w:r>
              <w:rPr>
                <w:rFonts w:ascii="Arial" w:eastAsia="Arial" w:hAnsi="Arial" w:cs="Arial"/>
                <w:b/>
                <w:i w:val="0"/>
                <w:strike w:val="0"/>
                <w:color w:val="000000"/>
                <w:sz w:val="13"/>
                <w:u w:val="none"/>
                <w:vertAlign w:val="baseline"/>
              </w:rPr>
              <w:t>9</w:t>
            </w:r>
            <w:bookmarkStart w:id="945" w:name="XBRL_CE_e83cd3764b044a9d864e9c27ad8bbc49"/>
            <w:bookmarkEnd w:id="944"/>
            <w:bookmarkEnd w:id="945"/>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46" w:name="XBRL_CS_0b9ec6e5e9b849448a09ee4b666fc473"/>
            <w:bookmarkEnd w:id="946"/>
            <w:bookmarkStart w:id="947" w:name="0b9ec6e5e9b849448a09ee4b666fc473"/>
            <w:bookmarkStart w:id="948" w:name="XBRL_CE_0b9ec6e5e9b849448a09ee4b666fc473"/>
            <w:bookmarkEnd w:id="947"/>
            <w:bookmarkEnd w:id="948"/>
          </w:p>
        </w:tc>
        <w:tc>
          <w:tcPr>
            <w:tcW w:w="127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49" w:name="XBRL_CS_dea4f7952d2344ae9890792520778ea7"/>
            <w:bookmarkEnd w:id="949"/>
            <w:bookmarkStart w:id="950" w:name="dea4f7952d2344ae9890792520778ea7"/>
            <w:r>
              <w:rPr>
                <w:rFonts w:ascii="Arial" w:eastAsia="Arial" w:hAnsi="Arial" w:cs="Arial"/>
                <w:b/>
                <w:i w:val="0"/>
                <w:strike w:val="0"/>
                <w:color w:val="000000"/>
                <w:sz w:val="13"/>
                <w:u w:val="none"/>
                <w:vertAlign w:val="baseline"/>
              </w:rPr>
              <w:t>74</w:t>
            </w:r>
            <w:bookmarkStart w:id="951" w:name="XBRL_CE_dea4f7952d2344ae9890792520778ea7"/>
            <w:bookmarkEnd w:id="950"/>
            <w:bookmarkEnd w:id="951"/>
          </w:p>
        </w:tc>
        <w:tc>
          <w:tcPr>
            <w:tcW w:w="127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52" w:name="XBRL_CS_61da3b741b1f491e9a20c11e2b984580"/>
            <w:bookmarkEnd w:id="952"/>
            <w:bookmarkStart w:id="953" w:name="61da3b741b1f491e9a20c11e2b984580"/>
            <w:r>
              <w:rPr>
                <w:rFonts w:ascii="Arial" w:eastAsia="Arial" w:hAnsi="Arial" w:cs="Arial"/>
                <w:b/>
                <w:i w:val="0"/>
                <w:strike w:val="0"/>
                <w:color w:val="000000"/>
                <w:sz w:val="13"/>
                <w:u w:val="none"/>
                <w:vertAlign w:val="baseline"/>
              </w:rPr>
              <w:t>-1</w:t>
            </w:r>
            <w:bookmarkStart w:id="954" w:name="XBRL_CE_61da3b741b1f491e9a20c11e2b984580"/>
            <w:bookmarkEnd w:id="953"/>
            <w:bookmarkEnd w:id="954"/>
          </w:p>
        </w:tc>
        <w:tc>
          <w:tcPr>
            <w:tcW w:w="127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55" w:name="XBRL_CS_d70648b85bdd4403909e99f05959997d"/>
            <w:bookmarkEnd w:id="955"/>
            <w:bookmarkStart w:id="956" w:name="d70648b85bdd4403909e99f05959997d"/>
            <w:r>
              <w:rPr>
                <w:rFonts w:ascii="Arial" w:eastAsia="Arial" w:hAnsi="Arial" w:cs="Arial"/>
                <w:b/>
                <w:i w:val="0"/>
                <w:strike w:val="0"/>
                <w:color w:val="000000"/>
                <w:sz w:val="13"/>
                <w:u w:val="none"/>
                <w:vertAlign w:val="baseline"/>
              </w:rPr>
              <w:t>73</w:t>
            </w:r>
            <w:bookmarkStart w:id="957" w:name="XBRL_CE_d70648b85bdd4403909e99f05959997d"/>
            <w:bookmarkEnd w:id="956"/>
            <w:bookmarkEnd w:id="957"/>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Profit for the financial period</w:t>
            </w:r>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58" w:name="XBRL_CS_ce69f467561d47f6962a0bd70be1d920"/>
            <w:bookmarkEnd w:id="958"/>
            <w:bookmarkStart w:id="959" w:name="ce69f467561d47f6962a0bd70be1d920"/>
            <w:bookmarkStart w:id="960" w:name="XBRL_CE_ce69f467561d47f6962a0bd70be1d920"/>
            <w:bookmarkEnd w:id="959"/>
            <w:bookmarkEnd w:id="960"/>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61" w:name="XBRL_CS_9cb4b289fa7c488b836e4cca286988ab"/>
            <w:bookmarkEnd w:id="961"/>
            <w:bookmarkStart w:id="962" w:name="9cb4b289fa7c488b836e4cca286988ab"/>
            <w:bookmarkStart w:id="963" w:name="XBRL_CE_9cb4b289fa7c488b836e4cca286988ab"/>
            <w:bookmarkEnd w:id="962"/>
            <w:bookmarkEnd w:id="963"/>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64" w:name="XBRL_CS_ff376d1b2e304a638c84595411c01dd6"/>
            <w:bookmarkEnd w:id="964"/>
            <w:bookmarkStart w:id="965" w:name="ff376d1b2e304a638c84595411c01dd6"/>
            <w:bookmarkStart w:id="966" w:name="XBRL_CE_ff376d1b2e304a638c84595411c01dd6"/>
            <w:bookmarkEnd w:id="965"/>
            <w:bookmarkEnd w:id="966"/>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67" w:name="XBRL_CS_d0aed8cc88a543bea9eb758543b382d4"/>
            <w:bookmarkEnd w:id="967"/>
            <w:bookmarkStart w:id="968" w:name="d0aed8cc88a543bea9eb758543b382d4"/>
            <w:bookmarkStart w:id="969" w:name="XBRL_CE_d0aed8cc88a543bea9eb758543b382d4"/>
            <w:bookmarkEnd w:id="968"/>
            <w:bookmarkEnd w:id="969"/>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70" w:name="XBRL_CS_7ee9e22c72b84033aabd01dc1c3e9c20"/>
            <w:bookmarkEnd w:id="970"/>
            <w:bookmarkStart w:id="971" w:name="7ee9e22c72b84033aabd01dc1c3e9c20"/>
            <w:bookmarkStart w:id="972" w:name="XBRL_CE_7ee9e22c72b84033aabd01dc1c3e9c20"/>
            <w:bookmarkEnd w:id="971"/>
            <w:bookmarkEnd w:id="972"/>
          </w:p>
        </w:tc>
        <w:tc>
          <w:tcPr>
            <w:tcW w:w="127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73" w:name="XBRL_CS_8913877613884ffd916731c7c696cce6"/>
            <w:bookmarkEnd w:id="973"/>
            <w:bookmarkStart w:id="974" w:name="8913877613884ffd916731c7c696cce6"/>
            <w:r>
              <w:rPr>
                <w:rFonts w:ascii="Arial" w:eastAsia="Arial" w:hAnsi="Arial" w:cs="Arial"/>
                <w:b/>
                <w:i w:val="0"/>
                <w:strike w:val="0"/>
                <w:color w:val="000000"/>
                <w:sz w:val="13"/>
                <w:u w:val="none"/>
                <w:vertAlign w:val="baseline"/>
              </w:rPr>
              <w:t>194</w:t>
            </w:r>
            <w:bookmarkStart w:id="975" w:name="XBRL_CE_8913877613884ffd916731c7c696cce6"/>
            <w:bookmarkEnd w:id="974"/>
            <w:bookmarkEnd w:id="975"/>
          </w:p>
        </w:tc>
        <w:tc>
          <w:tcPr>
            <w:tcW w:w="127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76" w:name="XBRL_CS_f8b289b611bb4c07b95b6160e1a01437"/>
            <w:bookmarkEnd w:id="976"/>
            <w:bookmarkStart w:id="977" w:name="f8b289b611bb4c07b95b6160e1a01437"/>
            <w:r>
              <w:rPr>
                <w:rFonts w:ascii="Arial" w:eastAsia="Arial" w:hAnsi="Arial" w:cs="Arial"/>
                <w:b/>
                <w:i w:val="0"/>
                <w:strike w:val="0"/>
                <w:color w:val="000000"/>
                <w:sz w:val="13"/>
                <w:u w:val="none"/>
                <w:vertAlign w:val="baseline"/>
              </w:rPr>
              <w:t>194</w:t>
            </w:r>
            <w:bookmarkStart w:id="978" w:name="XBRL_CE_f8b289b611bb4c07b95b6160e1a01437"/>
            <w:bookmarkEnd w:id="977"/>
            <w:bookmarkEnd w:id="978"/>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79" w:name="XBRL_CS_2dfffc14b4224d30ac260d74ce26a5e7"/>
            <w:bookmarkEnd w:id="979"/>
            <w:bookmarkStart w:id="980" w:name="2dfffc14b4224d30ac260d74ce26a5e7"/>
            <w:bookmarkStart w:id="981" w:name="XBRL_CE_2dfffc14b4224d30ac260d74ce26a5e7"/>
            <w:bookmarkEnd w:id="980"/>
            <w:bookmarkEnd w:id="981"/>
          </w:p>
        </w:tc>
        <w:tc>
          <w:tcPr>
            <w:tcW w:w="127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82" w:name="XBRL_CS_426dfc5e1ddc48c883f21782ecd4b533"/>
            <w:bookmarkEnd w:id="982"/>
            <w:bookmarkStart w:id="983" w:name="426dfc5e1ddc48c883f21782ecd4b533"/>
            <w:r>
              <w:rPr>
                <w:rFonts w:ascii="Arial" w:eastAsia="Arial" w:hAnsi="Arial" w:cs="Arial"/>
                <w:b/>
                <w:i w:val="0"/>
                <w:strike w:val="0"/>
                <w:color w:val="000000"/>
                <w:sz w:val="13"/>
                <w:u w:val="none"/>
                <w:vertAlign w:val="baseline"/>
              </w:rPr>
              <w:t>193</w:t>
            </w:r>
            <w:bookmarkStart w:id="984" w:name="XBRL_CE_426dfc5e1ddc48c883f21782ecd4b533"/>
            <w:bookmarkEnd w:id="983"/>
            <w:bookmarkEnd w:id="984"/>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comprehensive income for the financial period</w:t>
            </w:r>
          </w:p>
        </w:tc>
        <w:tc>
          <w:tcPr>
            <w:tcW w:w="127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85" w:name="XBRL_CS_944a6dfb52f349ccb617cf8fd84fdb62"/>
            <w:bookmarkEnd w:id="985"/>
            <w:bookmarkStart w:id="986" w:name="944a6dfb52f349ccb617cf8fd84fdb62"/>
            <w:bookmarkStart w:id="987" w:name="XBRL_CE_944a6dfb52f349ccb617cf8fd84fdb62"/>
            <w:bookmarkEnd w:id="986"/>
            <w:bookmarkEnd w:id="987"/>
          </w:p>
        </w:tc>
        <w:tc>
          <w:tcPr>
            <w:tcW w:w="127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88" w:name="XBRL_CS_8e459f6a3169460a8df00848466c451a"/>
            <w:bookmarkEnd w:id="988"/>
            <w:bookmarkStart w:id="989" w:name="8e459f6a3169460a8df00848466c451a"/>
            <w:bookmarkStart w:id="990" w:name="XBRL_CE_8e459f6a3169460a8df00848466c451a"/>
            <w:bookmarkEnd w:id="989"/>
            <w:bookmarkEnd w:id="990"/>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91" w:name="XBRL_CS_2034f63a6feb4bf6908df1b821c18dbe"/>
            <w:bookmarkEnd w:id="991"/>
            <w:bookmarkStart w:id="992" w:name="2034f63a6feb4bf6908df1b821c18dbe"/>
            <w:r>
              <w:rPr>
                <w:rFonts w:ascii="Arial" w:eastAsia="Arial" w:hAnsi="Arial" w:cs="Arial"/>
                <w:b/>
                <w:i w:val="0"/>
                <w:strike w:val="0"/>
                <w:color w:val="000000"/>
                <w:sz w:val="13"/>
                <w:u w:val="none"/>
                <w:vertAlign w:val="baseline"/>
              </w:rPr>
              <w:t>74</w:t>
            </w:r>
            <w:bookmarkStart w:id="993" w:name="XBRL_CE_2034f63a6feb4bf6908df1b821c18dbe"/>
            <w:bookmarkEnd w:id="992"/>
            <w:bookmarkEnd w:id="993"/>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94" w:name="XBRL_CS_018eb199e1c54206978042c07cc4696e"/>
            <w:bookmarkEnd w:id="994"/>
            <w:bookmarkStart w:id="995" w:name="018eb199e1c54206978042c07cc4696e"/>
            <w:r>
              <w:rPr>
                <w:rFonts w:ascii="Arial" w:eastAsia="Arial" w:hAnsi="Arial" w:cs="Arial"/>
                <w:b/>
                <w:i w:val="0"/>
                <w:strike w:val="0"/>
                <w:color w:val="000000"/>
                <w:sz w:val="13"/>
                <w:u w:val="none"/>
                <w:vertAlign w:val="baseline"/>
              </w:rPr>
              <w:t>-9</w:t>
            </w:r>
            <w:bookmarkStart w:id="996" w:name="XBRL_CE_018eb199e1c54206978042c07cc4696e"/>
            <w:bookmarkEnd w:id="995"/>
            <w:bookmarkEnd w:id="996"/>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97" w:name="XBRL_CS_a9d177c4ad7140ceb587461a6ff08470"/>
            <w:bookmarkEnd w:id="997"/>
            <w:bookmarkStart w:id="998" w:name="a9d177c4ad7140ceb587461a6ff08470"/>
            <w:r>
              <w:rPr>
                <w:rFonts w:ascii="Arial" w:eastAsia="Arial" w:hAnsi="Arial" w:cs="Arial"/>
                <w:b/>
                <w:i w:val="0"/>
                <w:strike w:val="0"/>
                <w:color w:val="000000"/>
                <w:sz w:val="13"/>
                <w:u w:val="none"/>
                <w:vertAlign w:val="baseline"/>
              </w:rPr>
              <w:t>9</w:t>
            </w:r>
            <w:bookmarkStart w:id="999" w:name="XBRL_CE_a9d177c4ad7140ceb587461a6ff08470"/>
            <w:bookmarkEnd w:id="998"/>
            <w:bookmarkEnd w:id="999"/>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00" w:name="XBRL_CS_7e5d88d1897b4ecbbe9adb23c3b0d1af"/>
            <w:bookmarkEnd w:id="1000"/>
            <w:bookmarkStart w:id="1001" w:name="7e5d88d1897b4ecbbe9adb23c3b0d1af"/>
            <w:r>
              <w:rPr>
                <w:rFonts w:ascii="Arial" w:eastAsia="Arial" w:hAnsi="Arial" w:cs="Arial"/>
                <w:b/>
                <w:i w:val="0"/>
                <w:strike w:val="0"/>
                <w:color w:val="000000"/>
                <w:sz w:val="13"/>
                <w:u w:val="none"/>
                <w:vertAlign w:val="baseline"/>
              </w:rPr>
              <w:t>194</w:t>
            </w:r>
            <w:bookmarkStart w:id="1002" w:name="XBRL_CE_7e5d88d1897b4ecbbe9adb23c3b0d1af"/>
            <w:bookmarkEnd w:id="1001"/>
            <w:bookmarkEnd w:id="1002"/>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03" w:name="XBRL_CS_95b252bd7bb443a0a6b88f8ae4c4f057"/>
            <w:bookmarkEnd w:id="1003"/>
            <w:bookmarkStart w:id="1004" w:name="95b252bd7bb443a0a6b88f8ae4c4f057"/>
            <w:r>
              <w:rPr>
                <w:rFonts w:ascii="Arial" w:eastAsia="Arial" w:hAnsi="Arial" w:cs="Arial"/>
                <w:b/>
                <w:i w:val="0"/>
                <w:strike w:val="0"/>
                <w:color w:val="000000"/>
                <w:sz w:val="13"/>
                <w:u w:val="none"/>
                <w:vertAlign w:val="baseline"/>
              </w:rPr>
              <w:t>268</w:t>
            </w:r>
            <w:bookmarkStart w:id="1005" w:name="XBRL_CE_95b252bd7bb443a0a6b88f8ae4c4f057"/>
            <w:bookmarkEnd w:id="1004"/>
            <w:bookmarkEnd w:id="1005"/>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06" w:name="XBRL_CS_bdbcf8d5a81d4ecf8f65e5f1570d6259"/>
            <w:bookmarkEnd w:id="1006"/>
            <w:bookmarkStart w:id="1007" w:name="bdbcf8d5a81d4ecf8f65e5f1570d6259"/>
            <w:r>
              <w:rPr>
                <w:rFonts w:ascii="Arial" w:eastAsia="Arial" w:hAnsi="Arial" w:cs="Arial"/>
                <w:b/>
                <w:i w:val="0"/>
                <w:strike w:val="0"/>
                <w:color w:val="000000"/>
                <w:sz w:val="13"/>
                <w:u w:val="none"/>
                <w:vertAlign w:val="baseline"/>
              </w:rPr>
              <w:t>-1</w:t>
            </w:r>
            <w:bookmarkStart w:id="1008" w:name="XBRL_CE_bdbcf8d5a81d4ecf8f65e5f1570d6259"/>
            <w:bookmarkEnd w:id="1007"/>
            <w:bookmarkEnd w:id="1008"/>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09" w:name="XBRL_CS_150e70fb4b924a3990c39fc6800af3e2"/>
            <w:bookmarkEnd w:id="1009"/>
            <w:bookmarkStart w:id="1010" w:name="150e70fb4b924a3990c39fc6800af3e2"/>
            <w:r>
              <w:rPr>
                <w:rFonts w:ascii="Arial" w:eastAsia="Arial" w:hAnsi="Arial" w:cs="Arial"/>
                <w:b/>
                <w:i w:val="0"/>
                <w:strike w:val="0"/>
                <w:color w:val="000000"/>
                <w:sz w:val="13"/>
                <w:u w:val="none"/>
                <w:vertAlign w:val="baseline"/>
              </w:rPr>
              <w:t>267</w:t>
            </w:r>
            <w:bookmarkStart w:id="1011" w:name="XBRL_CE_150e70fb4b924a3990c39fc6800af3e2"/>
            <w:bookmarkEnd w:id="1010"/>
            <w:bookmarkEnd w:id="1011"/>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Transactions with equity holders of the parent company and non-controlling interests</w:t>
            </w: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FFFFFF" w:fill="FFFFFF"/>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Dividends paid</w:t>
            </w: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12" w:name="XBRL_CS_292294584a604d8791a06f77111a09c9"/>
            <w:bookmarkEnd w:id="1012"/>
            <w:bookmarkStart w:id="1013" w:name="292294584a604d8791a06f77111a09c9"/>
            <w:bookmarkStart w:id="1014" w:name="XBRL_CE_292294584a604d8791a06f77111a09c9"/>
            <w:bookmarkEnd w:id="1013"/>
            <w:bookmarkEnd w:id="1014"/>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15" w:name="XBRL_CS_ed481b566ff4435eb6170c998c8f8a22"/>
            <w:bookmarkEnd w:id="1015"/>
            <w:bookmarkStart w:id="1016" w:name="ed481b566ff4435eb6170c998c8f8a22"/>
            <w:bookmarkStart w:id="1017" w:name="XBRL_CE_ed481b566ff4435eb6170c998c8f8a22"/>
            <w:bookmarkEnd w:id="1016"/>
            <w:bookmarkEnd w:id="1017"/>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18" w:name="XBRL_CS_cbf23bd9643a41e6b3f5591199f6599b"/>
            <w:bookmarkEnd w:id="1018"/>
            <w:bookmarkStart w:id="1019" w:name="cbf23bd9643a41e6b3f5591199f6599b"/>
            <w:bookmarkStart w:id="1020" w:name="XBRL_CE_cbf23bd9643a41e6b3f5591199f6599b"/>
            <w:bookmarkEnd w:id="1019"/>
            <w:bookmarkEnd w:id="1020"/>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21" w:name="XBRL_CS_4388cabeb29943808baec1dda3d5923c"/>
            <w:bookmarkEnd w:id="1021"/>
            <w:bookmarkStart w:id="1022" w:name="4388cabeb29943808baec1dda3d5923c"/>
            <w:bookmarkStart w:id="1023" w:name="XBRL_CE_4388cabeb29943808baec1dda3d5923c"/>
            <w:bookmarkEnd w:id="1022"/>
            <w:bookmarkEnd w:id="1023"/>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24" w:name="XBRL_CS_5f93571e730643aaaf89e8d18dcdc598"/>
            <w:bookmarkEnd w:id="1024"/>
            <w:bookmarkStart w:id="1025" w:name="5f93571e730643aaaf89e8d18dcdc598"/>
            <w:bookmarkStart w:id="1026" w:name="XBRL_CE_5f93571e730643aaaf89e8d18dcdc598"/>
            <w:bookmarkEnd w:id="1025"/>
            <w:bookmarkEnd w:id="1026"/>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27" w:name="XBRL_CS_5755ed20968e464083ce5e87aa8c254c"/>
            <w:bookmarkEnd w:id="1027"/>
            <w:bookmarkStart w:id="1028" w:name="5755ed20968e464083ce5e87aa8c254c"/>
            <w:r>
              <w:rPr>
                <w:rFonts w:ascii="Arial" w:eastAsia="Arial" w:hAnsi="Arial" w:cs="Arial"/>
                <w:b/>
                <w:i w:val="0"/>
                <w:strike w:val="0"/>
                <w:color w:val="000000"/>
                <w:sz w:val="13"/>
                <w:u w:val="none"/>
                <w:vertAlign w:val="baseline"/>
              </w:rPr>
              <w:t>-118</w:t>
            </w:r>
            <w:bookmarkStart w:id="1029" w:name="XBRL_CE_5755ed20968e464083ce5e87aa8c254c"/>
            <w:bookmarkEnd w:id="1028"/>
            <w:bookmarkEnd w:id="1029"/>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30" w:name="XBRL_CS_b7df1911caf54d90b7134c3482cae65e"/>
            <w:bookmarkEnd w:id="1030"/>
            <w:bookmarkStart w:id="1031" w:name="b7df1911caf54d90b7134c3482cae65e"/>
            <w:r>
              <w:rPr>
                <w:rFonts w:ascii="Arial" w:eastAsia="Arial" w:hAnsi="Arial" w:cs="Arial"/>
                <w:b/>
                <w:i w:val="0"/>
                <w:strike w:val="0"/>
                <w:color w:val="000000"/>
                <w:sz w:val="13"/>
                <w:u w:val="none"/>
                <w:vertAlign w:val="baseline"/>
              </w:rPr>
              <w:t>-118</w:t>
            </w:r>
            <w:bookmarkStart w:id="1032" w:name="XBRL_CE_b7df1911caf54d90b7134c3482cae65e"/>
            <w:bookmarkEnd w:id="1031"/>
            <w:bookmarkEnd w:id="1032"/>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33" w:name="XBRL_CS_eb944eb1ac31448ebc326e966a1983ea"/>
            <w:bookmarkEnd w:id="1033"/>
            <w:bookmarkStart w:id="1034" w:name="eb944eb1ac31448ebc326e966a1983ea"/>
            <w:r>
              <w:rPr>
                <w:rFonts w:ascii="Arial" w:eastAsia="Arial" w:hAnsi="Arial" w:cs="Arial"/>
                <w:b/>
                <w:i w:val="0"/>
                <w:strike w:val="0"/>
                <w:color w:val="000000"/>
                <w:sz w:val="13"/>
                <w:u w:val="none"/>
                <w:vertAlign w:val="baseline"/>
              </w:rPr>
              <w:t>-2</w:t>
            </w:r>
            <w:bookmarkStart w:id="1035" w:name="XBRL_CE_eb944eb1ac31448ebc326e966a1983ea"/>
            <w:bookmarkEnd w:id="1034"/>
            <w:bookmarkEnd w:id="1035"/>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36" w:name="XBRL_CS_31137095af22478cb22ee26190dc4648"/>
            <w:bookmarkEnd w:id="1036"/>
            <w:bookmarkStart w:id="1037" w:name="31137095af22478cb22ee26190dc4648"/>
            <w:r>
              <w:rPr>
                <w:rFonts w:ascii="Arial" w:eastAsia="Arial" w:hAnsi="Arial" w:cs="Arial"/>
                <w:b/>
                <w:i w:val="0"/>
                <w:strike w:val="0"/>
                <w:color w:val="000000"/>
                <w:sz w:val="13"/>
                <w:u w:val="none"/>
                <w:vertAlign w:val="baseline"/>
              </w:rPr>
              <w:t>-120</w:t>
            </w:r>
            <w:bookmarkStart w:id="1038" w:name="XBRL_CE_31137095af22478cb22ee26190dc4648"/>
            <w:bookmarkEnd w:id="1037"/>
            <w:bookmarkEnd w:id="1038"/>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FFFFFF" w:fill="FFFFFF"/>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Repurchase of own shares</w:t>
            </w: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39" w:name="XBRL_CS_2f4b092818a14d7a8df69895573d10ef"/>
            <w:bookmarkEnd w:id="1039"/>
            <w:bookmarkStart w:id="1040" w:name="2f4b092818a14d7a8df69895573d10ef"/>
            <w:bookmarkStart w:id="1041" w:name="XBRL_CE_2f4b092818a14d7a8df69895573d10ef"/>
            <w:bookmarkEnd w:id="1040"/>
            <w:bookmarkEnd w:id="1041"/>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42" w:name="XBRL_CS_1838046c1e0440f19189ce0cc88f4c75"/>
            <w:bookmarkEnd w:id="1042"/>
            <w:bookmarkStart w:id="1043" w:name="1838046c1e0440f19189ce0cc88f4c75"/>
            <w:bookmarkStart w:id="1044" w:name="XBRL_CE_1838046c1e0440f19189ce0cc88f4c75"/>
            <w:bookmarkEnd w:id="1043"/>
            <w:bookmarkEnd w:id="1044"/>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45" w:name="XBRL_CS_2e8f59b5bfc14e36aeeb87cbb7fd23ec"/>
            <w:bookmarkEnd w:id="1045"/>
            <w:bookmarkStart w:id="1046" w:name="2e8f59b5bfc14e36aeeb87cbb7fd23ec"/>
            <w:bookmarkStart w:id="1047" w:name="XBRL_CE_2e8f59b5bfc14e36aeeb87cbb7fd23ec"/>
            <w:bookmarkEnd w:id="1046"/>
            <w:bookmarkEnd w:id="1047"/>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48" w:name="XBRL_CS_c4ac3a92f13f4012b967a5a9100a0c8b"/>
            <w:bookmarkEnd w:id="1048"/>
            <w:bookmarkStart w:id="1049" w:name="c4ac3a92f13f4012b967a5a9100a0c8b"/>
            <w:bookmarkStart w:id="1050" w:name="XBRL_CE_c4ac3a92f13f4012b967a5a9100a0c8b"/>
            <w:bookmarkEnd w:id="1049"/>
            <w:bookmarkEnd w:id="1050"/>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51" w:name="XBRL_CS_dac5244480594d4db571a944ab97faec"/>
            <w:bookmarkEnd w:id="1051"/>
            <w:bookmarkStart w:id="1052" w:name="dac5244480594d4db571a944ab97faec"/>
            <w:bookmarkStart w:id="1053" w:name="XBRL_CE_dac5244480594d4db571a944ab97faec"/>
            <w:bookmarkEnd w:id="1052"/>
            <w:bookmarkEnd w:id="1053"/>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54" w:name="XBRL_CS_cc0907e3184a4ce98061f3a1f4985159"/>
            <w:bookmarkEnd w:id="1054"/>
            <w:bookmarkStart w:id="1055" w:name="cc0907e3184a4ce98061f3a1f4985159"/>
            <w:r>
              <w:rPr>
                <w:rFonts w:ascii="Arial" w:eastAsia="Arial" w:hAnsi="Arial" w:cs="Arial"/>
                <w:b/>
                <w:i w:val="0"/>
                <w:strike w:val="0"/>
                <w:color w:val="000000"/>
                <w:sz w:val="13"/>
                <w:u w:val="none"/>
                <w:vertAlign w:val="baseline"/>
              </w:rPr>
              <w:t>-18</w:t>
            </w:r>
            <w:bookmarkStart w:id="1056" w:name="XBRL_CE_cc0907e3184a4ce98061f3a1f4985159"/>
            <w:bookmarkEnd w:id="1055"/>
            <w:bookmarkEnd w:id="1056"/>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57" w:name="XBRL_CS_b40606784d454d54a48bc8a5ed37340f"/>
            <w:bookmarkEnd w:id="1057"/>
            <w:bookmarkStart w:id="1058" w:name="b40606784d454d54a48bc8a5ed37340f"/>
            <w:r>
              <w:rPr>
                <w:rFonts w:ascii="Arial" w:eastAsia="Arial" w:hAnsi="Arial" w:cs="Arial"/>
                <w:b/>
                <w:i w:val="0"/>
                <w:strike w:val="0"/>
                <w:color w:val="000000"/>
                <w:sz w:val="13"/>
                <w:u w:val="none"/>
                <w:vertAlign w:val="baseline"/>
              </w:rPr>
              <w:t>-18</w:t>
            </w:r>
            <w:bookmarkStart w:id="1059" w:name="XBRL_CE_b40606784d454d54a48bc8a5ed37340f"/>
            <w:bookmarkEnd w:id="1058"/>
            <w:bookmarkEnd w:id="1059"/>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60" w:name="XBRL_CS_f2c2f9b3bbc1408194ba64b604e31cd2"/>
            <w:bookmarkEnd w:id="1060"/>
            <w:bookmarkStart w:id="1061" w:name="f2c2f9b3bbc1408194ba64b604e31cd2"/>
            <w:bookmarkStart w:id="1062" w:name="XBRL_CE_f2c2f9b3bbc1408194ba64b604e31cd2"/>
            <w:bookmarkEnd w:id="1061"/>
            <w:bookmarkEnd w:id="1062"/>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63" w:name="XBRL_CS_3508085caf214698b81a9f54541694ea"/>
            <w:bookmarkEnd w:id="1063"/>
            <w:bookmarkStart w:id="1064" w:name="3508085caf214698b81a9f54541694ea"/>
            <w:r>
              <w:rPr>
                <w:rFonts w:ascii="Arial" w:eastAsia="Arial" w:hAnsi="Arial" w:cs="Arial"/>
                <w:b/>
                <w:i w:val="0"/>
                <w:strike w:val="0"/>
                <w:color w:val="000000"/>
                <w:sz w:val="13"/>
                <w:u w:val="none"/>
                <w:vertAlign w:val="baseline"/>
              </w:rPr>
              <w:t>-18</w:t>
            </w:r>
            <w:bookmarkStart w:id="1065" w:name="XBRL_CE_3508085caf214698b81a9f54541694ea"/>
            <w:bookmarkEnd w:id="1064"/>
            <w:bookmarkEnd w:id="1065"/>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8" w:space="0" w:color="0F172B"/>
              <w:right w:val="nil"/>
              <w:tl2br w:val="nil"/>
              <w:tr2bl w:val="nil"/>
            </w:tcBorders>
            <w:shd w:val="clear" w:color="FFFFFF" w:fill="FFFFFF"/>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Share-based payments</w:t>
            </w:r>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66" w:name="XBRL_CS_1c3c112a298b4488861014f5dd0d12f2"/>
            <w:bookmarkEnd w:id="1066"/>
            <w:bookmarkStart w:id="1067" w:name="1c3c112a298b4488861014f5dd0d12f2"/>
            <w:bookmarkStart w:id="1068" w:name="XBRL_CE_1c3c112a298b4488861014f5dd0d12f2"/>
            <w:bookmarkEnd w:id="1067"/>
            <w:bookmarkEnd w:id="1068"/>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69" w:name="XBRL_CS_543d78feef954bfe89c185166fe9790b"/>
            <w:bookmarkEnd w:id="1069"/>
            <w:bookmarkStart w:id="1070" w:name="543d78feef954bfe89c185166fe9790b"/>
            <w:bookmarkStart w:id="1071" w:name="XBRL_CE_543d78feef954bfe89c185166fe9790b"/>
            <w:bookmarkEnd w:id="1070"/>
            <w:bookmarkEnd w:id="1071"/>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72" w:name="XBRL_CS_c6c4b3592bce44ad93605966b67d8166"/>
            <w:bookmarkEnd w:id="1072"/>
            <w:bookmarkStart w:id="1073" w:name="c6c4b3592bce44ad93605966b67d8166"/>
            <w:bookmarkStart w:id="1074" w:name="XBRL_CE_c6c4b3592bce44ad93605966b67d8166"/>
            <w:bookmarkEnd w:id="1073"/>
            <w:bookmarkEnd w:id="1074"/>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75" w:name="XBRL_CS_be2adc3b9862484c8ecfe9be964c7c57"/>
            <w:bookmarkEnd w:id="1075"/>
            <w:bookmarkStart w:id="1076" w:name="be2adc3b9862484c8ecfe9be964c7c57"/>
            <w:bookmarkStart w:id="1077" w:name="XBRL_CE_be2adc3b9862484c8ecfe9be964c7c57"/>
            <w:bookmarkEnd w:id="1076"/>
            <w:bookmarkEnd w:id="1077"/>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78" w:name="XBRL_CS_c52e44517e6349a1a70fffd44c503365"/>
            <w:bookmarkEnd w:id="1078"/>
            <w:bookmarkStart w:id="1079" w:name="c52e44517e6349a1a70fffd44c503365"/>
            <w:bookmarkStart w:id="1080" w:name="XBRL_CE_c52e44517e6349a1a70fffd44c503365"/>
            <w:bookmarkEnd w:id="1079"/>
            <w:bookmarkEnd w:id="1080"/>
          </w:p>
        </w:tc>
        <w:tc>
          <w:tcPr>
            <w:tcW w:w="127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81" w:name="XBRL_CS_0d035ebe4a5f4c2d822630061eff0e63"/>
            <w:bookmarkEnd w:id="1081"/>
            <w:bookmarkStart w:id="1082" w:name="0d035ebe4a5f4c2d822630061eff0e63"/>
            <w:r>
              <w:rPr>
                <w:rFonts w:ascii="Arial" w:eastAsia="Arial" w:hAnsi="Arial" w:cs="Arial"/>
                <w:b/>
                <w:i w:val="0"/>
                <w:strike w:val="0"/>
                <w:color w:val="000000"/>
                <w:sz w:val="13"/>
                <w:u w:val="none"/>
                <w:vertAlign w:val="baseline"/>
              </w:rPr>
              <w:t>7</w:t>
            </w:r>
            <w:bookmarkStart w:id="1083" w:name="XBRL_CE_0d035ebe4a5f4c2d822630061eff0e63"/>
            <w:bookmarkEnd w:id="1082"/>
            <w:bookmarkEnd w:id="1083"/>
          </w:p>
        </w:tc>
        <w:tc>
          <w:tcPr>
            <w:tcW w:w="127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84" w:name="XBRL_CS_360f721c7afa4694a0cdca2e94ff6692"/>
            <w:bookmarkEnd w:id="1084"/>
            <w:bookmarkStart w:id="1085" w:name="360f721c7afa4694a0cdca2e94ff6692"/>
            <w:r>
              <w:rPr>
                <w:rFonts w:ascii="Arial" w:eastAsia="Arial" w:hAnsi="Arial" w:cs="Arial"/>
                <w:b/>
                <w:i w:val="0"/>
                <w:strike w:val="0"/>
                <w:color w:val="000000"/>
                <w:sz w:val="13"/>
                <w:u w:val="none"/>
                <w:vertAlign w:val="baseline"/>
              </w:rPr>
              <w:t>7</w:t>
            </w:r>
            <w:bookmarkStart w:id="1086" w:name="XBRL_CE_360f721c7afa4694a0cdca2e94ff6692"/>
            <w:bookmarkEnd w:id="1085"/>
            <w:bookmarkEnd w:id="1086"/>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87" w:name="XBRL_CS_cca8321e025b4adc893137965b7a8284"/>
            <w:bookmarkEnd w:id="1087"/>
            <w:bookmarkStart w:id="1088" w:name="cca8321e025b4adc893137965b7a8284"/>
            <w:bookmarkStart w:id="1089" w:name="XBRL_CE_cca8321e025b4adc893137965b7a8284"/>
            <w:bookmarkEnd w:id="1088"/>
            <w:bookmarkEnd w:id="1089"/>
          </w:p>
        </w:tc>
        <w:tc>
          <w:tcPr>
            <w:tcW w:w="127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90" w:name="XBRL_CS_75d8f8ade50541daaa94f8c8b0f5aca5"/>
            <w:bookmarkEnd w:id="1090"/>
            <w:bookmarkStart w:id="1091" w:name="75d8f8ade50541daaa94f8c8b0f5aca5"/>
            <w:r>
              <w:rPr>
                <w:rFonts w:ascii="Arial" w:eastAsia="Arial" w:hAnsi="Arial" w:cs="Arial"/>
                <w:b/>
                <w:i w:val="0"/>
                <w:strike w:val="0"/>
                <w:color w:val="000000"/>
                <w:sz w:val="13"/>
                <w:u w:val="none"/>
                <w:vertAlign w:val="baseline"/>
              </w:rPr>
              <w:t>7</w:t>
            </w:r>
            <w:bookmarkStart w:id="1092" w:name="XBRL_CE_75d8f8ade50541daaa94f8c8b0f5aca5"/>
            <w:bookmarkEnd w:id="1091"/>
            <w:bookmarkEnd w:id="1092"/>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8" w:space="0" w:color="0F172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Equity on 31 December 2021</w:t>
            </w:r>
          </w:p>
        </w:tc>
        <w:tc>
          <w:tcPr>
            <w:tcW w:w="127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93" w:name="XBRL_CS_e1486d4d3385482ebc2342141435cd82"/>
            <w:bookmarkEnd w:id="1093"/>
            <w:bookmarkStart w:id="1094" w:name="e1486d4d3385482ebc2342141435cd82"/>
            <w:r>
              <w:rPr>
                <w:rFonts w:ascii="Arial" w:eastAsia="Arial" w:hAnsi="Arial" w:cs="Arial"/>
                <w:b/>
                <w:i w:val="0"/>
                <w:strike w:val="0"/>
                <w:color w:val="000000"/>
                <w:sz w:val="13"/>
                <w:u w:val="none"/>
                <w:vertAlign w:val="baseline"/>
              </w:rPr>
              <w:t>336</w:t>
            </w:r>
            <w:bookmarkStart w:id="1095" w:name="XBRL_CE_e1486d4d3385482ebc2342141435cd82"/>
            <w:bookmarkEnd w:id="1094"/>
            <w:bookmarkEnd w:id="1095"/>
          </w:p>
        </w:tc>
        <w:tc>
          <w:tcPr>
            <w:tcW w:w="127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96" w:name="XBRL_CS_bb78f31aba574a37bf1002ed7eacdb66"/>
            <w:bookmarkEnd w:id="1096"/>
            <w:bookmarkStart w:id="1097" w:name="bb78f31aba574a37bf1002ed7eacdb66"/>
            <w:r>
              <w:rPr>
                <w:rFonts w:ascii="Arial" w:eastAsia="Arial" w:hAnsi="Arial" w:cs="Arial"/>
                <w:b/>
                <w:i w:val="0"/>
                <w:strike w:val="0"/>
                <w:color w:val="000000"/>
                <w:sz w:val="13"/>
                <w:u w:val="none"/>
                <w:vertAlign w:val="baseline"/>
              </w:rPr>
              <w:t>61</w:t>
            </w:r>
            <w:bookmarkStart w:id="1098" w:name="XBRL_CE_bb78f31aba574a37bf1002ed7eacdb66"/>
            <w:bookmarkEnd w:id="1097"/>
            <w:bookmarkEnd w:id="1098"/>
          </w:p>
        </w:tc>
        <w:tc>
          <w:tcPr>
            <w:tcW w:w="127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99" w:name="XBRL_CS_7e25830923464fe3a7fd44b05bf3a4d0"/>
            <w:bookmarkEnd w:id="1099"/>
            <w:bookmarkStart w:id="1100" w:name="7e25830923464fe3a7fd44b05bf3a4d0"/>
            <w:r>
              <w:rPr>
                <w:rFonts w:ascii="Arial" w:eastAsia="Arial" w:hAnsi="Arial" w:cs="Arial"/>
                <w:b/>
                <w:i w:val="0"/>
                <w:strike w:val="0"/>
                <w:color w:val="000000"/>
                <w:sz w:val="13"/>
                <w:u w:val="none"/>
                <w:vertAlign w:val="baseline"/>
              </w:rPr>
              <w:t>-122</w:t>
            </w:r>
            <w:bookmarkStart w:id="1101" w:name="XBRL_CE_7e25830923464fe3a7fd44b05bf3a4d0"/>
            <w:bookmarkEnd w:id="1100"/>
            <w:bookmarkEnd w:id="1101"/>
          </w:p>
        </w:tc>
        <w:tc>
          <w:tcPr>
            <w:tcW w:w="127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102" w:name="XBRL_CS_f4d73da5e42d42f88dfb437eb8013b4d"/>
            <w:bookmarkEnd w:id="1102"/>
            <w:bookmarkStart w:id="1103" w:name="f4d73da5e42d42f88dfb437eb8013b4d"/>
            <w:r>
              <w:rPr>
                <w:rFonts w:ascii="Arial" w:eastAsia="Arial" w:hAnsi="Arial" w:cs="Arial"/>
                <w:b/>
                <w:i w:val="0"/>
                <w:strike w:val="0"/>
                <w:color w:val="000000"/>
                <w:sz w:val="13"/>
                <w:u w:val="none"/>
                <w:vertAlign w:val="baseline"/>
              </w:rPr>
              <w:t>-18</w:t>
            </w:r>
            <w:bookmarkStart w:id="1104" w:name="XBRL_CE_f4d73da5e42d42f88dfb437eb8013b4d"/>
            <w:bookmarkEnd w:id="1103"/>
            <w:bookmarkEnd w:id="1104"/>
          </w:p>
        </w:tc>
        <w:tc>
          <w:tcPr>
            <w:tcW w:w="127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105" w:name="XBRL_CS_2f83a26830f14069b81d6e309caf2fcd"/>
            <w:bookmarkEnd w:id="1105"/>
            <w:bookmarkStart w:id="1106" w:name="2f83a26830f14069b81d6e309caf2fcd"/>
            <w:r>
              <w:rPr>
                <w:rFonts w:ascii="Arial" w:eastAsia="Arial" w:hAnsi="Arial" w:cs="Arial"/>
                <w:b/>
                <w:i w:val="0"/>
                <w:strike w:val="0"/>
                <w:color w:val="000000"/>
                <w:sz w:val="13"/>
                <w:u w:val="none"/>
                <w:vertAlign w:val="baseline"/>
              </w:rPr>
              <w:t>-36</w:t>
            </w:r>
            <w:bookmarkStart w:id="1107" w:name="XBRL_CE_2f83a26830f14069b81d6e309caf2fcd"/>
            <w:bookmarkEnd w:id="1106"/>
            <w:bookmarkEnd w:id="1107"/>
          </w:p>
        </w:tc>
        <w:tc>
          <w:tcPr>
            <w:tcW w:w="127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108" w:name="XBRL_CS_736ba2b643f545939ffc028a436e5603"/>
            <w:bookmarkEnd w:id="1108"/>
            <w:bookmarkStart w:id="1109" w:name="736ba2b643f545939ffc028a436e5603"/>
            <w:r>
              <w:rPr>
                <w:rFonts w:ascii="Arial" w:eastAsia="Arial" w:hAnsi="Arial" w:cs="Arial"/>
                <w:b/>
                <w:i w:val="0"/>
                <w:strike w:val="0"/>
                <w:color w:val="000000"/>
                <w:sz w:val="13"/>
                <w:u w:val="none"/>
                <w:vertAlign w:val="baseline"/>
              </w:rPr>
              <w:t>2,094</w:t>
            </w:r>
            <w:bookmarkStart w:id="1110" w:name="XBRL_CE_736ba2b643f545939ffc028a436e5603"/>
            <w:bookmarkEnd w:id="1109"/>
            <w:bookmarkEnd w:id="1110"/>
          </w:p>
        </w:tc>
        <w:tc>
          <w:tcPr>
            <w:tcW w:w="127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111" w:name="XBRL_CS_1401346b9c0844b1b627b2544ee25a46"/>
            <w:bookmarkEnd w:id="1111"/>
            <w:bookmarkStart w:id="1112" w:name="1401346b9c0844b1b627b2544ee25a46"/>
            <w:r>
              <w:rPr>
                <w:rFonts w:ascii="Arial" w:eastAsia="Arial" w:hAnsi="Arial" w:cs="Arial"/>
                <w:b/>
                <w:i w:val="0"/>
                <w:strike w:val="0"/>
                <w:color w:val="000000"/>
                <w:sz w:val="13"/>
                <w:u w:val="none"/>
                <w:vertAlign w:val="baseline"/>
              </w:rPr>
              <w:t>2,315</w:t>
            </w:r>
            <w:bookmarkStart w:id="1113" w:name="XBRL_CE_1401346b9c0844b1b627b2544ee25a46"/>
            <w:bookmarkEnd w:id="1112"/>
            <w:bookmarkEnd w:id="1113"/>
          </w:p>
        </w:tc>
        <w:tc>
          <w:tcPr>
            <w:tcW w:w="127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114" w:name="XBRL_CS_c7ea4e141bff4e22baa5cfc42dcb96e2"/>
            <w:bookmarkEnd w:id="1114"/>
            <w:bookmarkStart w:id="1115" w:name="c7ea4e141bff4e22baa5cfc42dcb96e2"/>
            <w:r>
              <w:rPr>
                <w:rFonts w:ascii="Arial" w:eastAsia="Arial" w:hAnsi="Arial" w:cs="Arial"/>
                <w:b/>
                <w:i w:val="0"/>
                <w:strike w:val="0"/>
                <w:color w:val="000000"/>
                <w:sz w:val="13"/>
                <w:u w:val="none"/>
                <w:vertAlign w:val="baseline"/>
              </w:rPr>
              <w:t>8</w:t>
            </w:r>
            <w:bookmarkStart w:id="1116" w:name="XBRL_CE_c7ea4e141bff4e22baa5cfc42dcb96e2"/>
            <w:bookmarkEnd w:id="1115"/>
            <w:bookmarkEnd w:id="1116"/>
          </w:p>
        </w:tc>
        <w:tc>
          <w:tcPr>
            <w:tcW w:w="127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117" w:name="XBRL_CS_7dd013d571944a04a5add8e701a88985"/>
            <w:bookmarkEnd w:id="1117"/>
            <w:bookmarkStart w:id="1118" w:name="7dd013d571944a04a5add8e701a88985"/>
            <w:r>
              <w:rPr>
                <w:rFonts w:ascii="Arial" w:eastAsia="Arial" w:hAnsi="Arial" w:cs="Arial"/>
                <w:b/>
                <w:i w:val="0"/>
                <w:strike w:val="0"/>
                <w:color w:val="000000"/>
                <w:sz w:val="13"/>
                <w:u w:val="none"/>
                <w:vertAlign w:val="baseline"/>
              </w:rPr>
              <w:t>2,323</w:t>
            </w:r>
            <w:bookmarkStart w:id="1119" w:name="XBRL_CE_7dd013d571944a04a5add8e701a88985"/>
            <w:bookmarkEnd w:id="1118"/>
            <w:bookmarkEnd w:id="1119"/>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single" w:sz="8" w:space="0" w:color="0F172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single" w:sz="8" w:space="0" w:color="0F172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single" w:sz="8" w:space="0" w:color="0F172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single" w:sz="8" w:space="0" w:color="0F172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single" w:sz="8" w:space="0" w:color="0F172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single" w:sz="8" w:space="0" w:color="0F172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single" w:sz="8" w:space="0" w:color="0F172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single" w:sz="8" w:space="0" w:color="0F172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single" w:sz="8" w:space="0" w:color="0F172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single" w:sz="8" w:space="0" w:color="0F172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925" w:type="dxa"/>
            <w:gridSpan w:val="7"/>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equity attributable to equity holders of the parent company</w:t>
            </w:r>
          </w:p>
        </w:tc>
        <w:tc>
          <w:tcPr>
            <w:tcW w:w="127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Non-controlling</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interests</w:t>
            </w:r>
          </w:p>
        </w:tc>
        <w:tc>
          <w:tcPr>
            <w:tcW w:w="127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Total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equity</w:t>
            </w: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Share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capital</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Share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premium</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Translation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difference</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Fair value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reserve</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Remeasurements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of defined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benefit liabilities</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Retained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earnings</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8" w:space="0" w:color="0F172B"/>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Equity on 1 January 2020</w:t>
            </w:r>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20" w:name="XBRL_CS_39c5a0d768b0438ebf2154a21513a6c4"/>
            <w:bookmarkEnd w:id="1120"/>
            <w:bookmarkStart w:id="1121" w:name="39c5a0d768b0438ebf2154a21513a6c4"/>
            <w:r>
              <w:rPr>
                <w:rFonts w:ascii="Arial" w:eastAsia="Arial" w:hAnsi="Arial" w:cs="Arial"/>
                <w:b w:val="0"/>
                <w:i w:val="0"/>
                <w:strike w:val="0"/>
                <w:color w:val="000000"/>
                <w:sz w:val="13"/>
                <w:u w:val="none"/>
                <w:vertAlign w:val="baseline"/>
              </w:rPr>
              <w:t>336</w:t>
            </w:r>
            <w:bookmarkStart w:id="1122" w:name="XBRL_CE_39c5a0d768b0438ebf2154a21513a6c4"/>
            <w:bookmarkEnd w:id="1121"/>
            <w:bookmarkEnd w:id="1122"/>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23" w:name="XBRL_CS_3163509fa42b474985c5ac65da5f03de"/>
            <w:bookmarkEnd w:id="1123"/>
            <w:bookmarkStart w:id="1124" w:name="3163509fa42b474985c5ac65da5f03de"/>
            <w:r>
              <w:rPr>
                <w:rFonts w:ascii="Arial" w:eastAsia="Arial" w:hAnsi="Arial" w:cs="Arial"/>
                <w:b w:val="0"/>
                <w:i w:val="0"/>
                <w:strike w:val="0"/>
                <w:color w:val="000000"/>
                <w:sz w:val="13"/>
                <w:u w:val="none"/>
                <w:vertAlign w:val="baseline"/>
              </w:rPr>
              <w:t>61</w:t>
            </w:r>
            <w:bookmarkStart w:id="1125" w:name="XBRL_CE_3163509fa42b474985c5ac65da5f03de"/>
            <w:bookmarkEnd w:id="1124"/>
            <w:bookmarkEnd w:id="1125"/>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26" w:name="XBRL_CS_9dfaac877e824f1ea7f8f5987a1a2cb4"/>
            <w:bookmarkEnd w:id="1126"/>
            <w:bookmarkStart w:id="1127" w:name="9dfaac877e824f1ea7f8f5987a1a2cb4"/>
            <w:r>
              <w:rPr>
                <w:rFonts w:ascii="Arial" w:eastAsia="Arial" w:hAnsi="Arial" w:cs="Arial"/>
                <w:b w:val="0"/>
                <w:i w:val="0"/>
                <w:strike w:val="0"/>
                <w:color w:val="000000"/>
                <w:sz w:val="13"/>
                <w:u w:val="none"/>
                <w:vertAlign w:val="baseline"/>
              </w:rPr>
              <w:t>-114</w:t>
            </w:r>
            <w:bookmarkStart w:id="1128" w:name="XBRL_CE_9dfaac877e824f1ea7f8f5987a1a2cb4"/>
            <w:bookmarkEnd w:id="1127"/>
            <w:bookmarkEnd w:id="1128"/>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29" w:name="XBRL_CS_12afa3d59aeb4937bd57ad9cc3da80c3"/>
            <w:bookmarkEnd w:id="1129"/>
            <w:bookmarkStart w:id="1130" w:name="12afa3d59aeb4937bd57ad9cc3da80c3"/>
            <w:r>
              <w:rPr>
                <w:rFonts w:ascii="Arial" w:eastAsia="Arial" w:hAnsi="Arial" w:cs="Arial"/>
                <w:b w:val="0"/>
                <w:i w:val="0"/>
                <w:strike w:val="0"/>
                <w:color w:val="000000"/>
                <w:sz w:val="13"/>
                <w:u w:val="none"/>
                <w:vertAlign w:val="baseline"/>
              </w:rPr>
              <w:t>-11</w:t>
            </w:r>
            <w:bookmarkStart w:id="1131" w:name="XBRL_CE_12afa3d59aeb4937bd57ad9cc3da80c3"/>
            <w:bookmarkEnd w:id="1130"/>
            <w:bookmarkEnd w:id="1131"/>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32" w:name="XBRL_CS_da89ddc0db414392831a76e1ccc88ef5"/>
            <w:bookmarkEnd w:id="1132"/>
            <w:bookmarkStart w:id="1133" w:name="da89ddc0db414392831a76e1ccc88ef5"/>
            <w:r>
              <w:rPr>
                <w:rFonts w:ascii="Arial" w:eastAsia="Arial" w:hAnsi="Arial" w:cs="Arial"/>
                <w:b w:val="0"/>
                <w:i w:val="0"/>
                <w:strike w:val="0"/>
                <w:color w:val="000000"/>
                <w:sz w:val="13"/>
                <w:u w:val="none"/>
                <w:vertAlign w:val="baseline"/>
              </w:rPr>
              <w:t>-55</w:t>
            </w:r>
            <w:bookmarkStart w:id="1134" w:name="XBRL_CE_da89ddc0db414392831a76e1ccc88ef5"/>
            <w:bookmarkEnd w:id="1133"/>
            <w:bookmarkEnd w:id="1134"/>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35" w:name="XBRL_CS_472613143f9b4b4ca4425f4608d78a65"/>
            <w:bookmarkEnd w:id="1135"/>
            <w:bookmarkStart w:id="1136" w:name="472613143f9b4b4ca4425f4608d78a65"/>
            <w:r>
              <w:rPr>
                <w:rFonts w:ascii="Arial" w:eastAsia="Arial" w:hAnsi="Arial" w:cs="Arial"/>
                <w:b w:val="0"/>
                <w:i w:val="0"/>
                <w:strike w:val="0"/>
                <w:color w:val="000000"/>
                <w:sz w:val="13"/>
                <w:u w:val="none"/>
                <w:vertAlign w:val="baseline"/>
              </w:rPr>
              <w:t>2,178</w:t>
            </w:r>
            <w:bookmarkStart w:id="1137" w:name="XBRL_CE_472613143f9b4b4ca4425f4608d78a65"/>
            <w:bookmarkEnd w:id="1136"/>
            <w:bookmarkEnd w:id="1137"/>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38" w:name="XBRL_CS_3189ccd924604ed7aae0b4cc3cc35ab5"/>
            <w:bookmarkEnd w:id="1138"/>
            <w:bookmarkStart w:id="1139" w:name="3189ccd924604ed7aae0b4cc3cc35ab5"/>
            <w:r>
              <w:rPr>
                <w:rFonts w:ascii="Arial" w:eastAsia="Arial" w:hAnsi="Arial" w:cs="Arial"/>
                <w:b w:val="0"/>
                <w:i w:val="0"/>
                <w:strike w:val="0"/>
                <w:color w:val="000000"/>
                <w:sz w:val="13"/>
                <w:u w:val="none"/>
                <w:vertAlign w:val="baseline"/>
              </w:rPr>
              <w:t>2,396</w:t>
            </w:r>
            <w:bookmarkStart w:id="1140" w:name="XBRL_CE_3189ccd924604ed7aae0b4cc3cc35ab5"/>
            <w:bookmarkEnd w:id="1139"/>
            <w:bookmarkEnd w:id="1140"/>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41" w:name="XBRL_CS_39acc24981eb4a14abafa5c37ee72150"/>
            <w:bookmarkEnd w:id="1141"/>
            <w:bookmarkStart w:id="1142" w:name="39acc24981eb4a14abafa5c37ee72150"/>
            <w:r>
              <w:rPr>
                <w:rFonts w:ascii="Arial" w:eastAsia="Arial" w:hAnsi="Arial" w:cs="Arial"/>
                <w:b w:val="0"/>
                <w:i w:val="0"/>
                <w:strike w:val="0"/>
                <w:color w:val="000000"/>
                <w:sz w:val="13"/>
                <w:u w:val="none"/>
                <w:vertAlign w:val="baseline"/>
              </w:rPr>
              <w:t>14</w:t>
            </w:r>
            <w:bookmarkStart w:id="1143" w:name="XBRL_CE_39acc24981eb4a14abafa5c37ee72150"/>
            <w:bookmarkEnd w:id="1142"/>
            <w:bookmarkEnd w:id="1143"/>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44" w:name="XBRL_CS_332ca2cfcff04d44987dad4175d5370a"/>
            <w:bookmarkEnd w:id="1144"/>
            <w:bookmarkStart w:id="1145" w:name="332ca2cfcff04d44987dad4175d5370a"/>
            <w:r>
              <w:rPr>
                <w:rFonts w:ascii="Arial" w:eastAsia="Arial" w:hAnsi="Arial" w:cs="Arial"/>
                <w:b w:val="0"/>
                <w:i w:val="0"/>
                <w:strike w:val="0"/>
                <w:color w:val="000000"/>
                <w:sz w:val="13"/>
                <w:u w:val="none"/>
                <w:vertAlign w:val="baseline"/>
              </w:rPr>
              <w:t>2,410</w:t>
            </w:r>
            <w:bookmarkStart w:id="1146" w:name="XBRL_CE_332ca2cfcff04d44987dad4175d5370a"/>
            <w:bookmarkEnd w:id="1145"/>
            <w:bookmarkEnd w:id="1146"/>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Translation differences</w:t>
            </w: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47" w:name="XBRL_CS_1835320e16ca4bdfbbe245f5e09bfa92"/>
            <w:bookmarkEnd w:id="1147"/>
            <w:bookmarkStart w:id="1148" w:name="1835320e16ca4bdfbbe245f5e09bfa92"/>
            <w:bookmarkStart w:id="1149" w:name="XBRL_CE_1835320e16ca4bdfbbe245f5e09bfa92"/>
            <w:bookmarkEnd w:id="1148"/>
            <w:bookmarkEnd w:id="1149"/>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50" w:name="XBRL_CS_19e27d3bf1364e818868aaf8e013ba1e"/>
            <w:bookmarkEnd w:id="1150"/>
            <w:bookmarkStart w:id="1151" w:name="19e27d3bf1364e818868aaf8e013ba1e"/>
            <w:bookmarkStart w:id="1152" w:name="XBRL_CE_19e27d3bf1364e818868aaf8e013ba1e"/>
            <w:bookmarkEnd w:id="1151"/>
            <w:bookmarkEnd w:id="1152"/>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53" w:name="XBRL_CS_0d9182fe6a0f4524bc644fb6c1678b23"/>
            <w:bookmarkEnd w:id="1153"/>
            <w:bookmarkStart w:id="1154" w:name="0d9182fe6a0f4524bc644fb6c1678b23"/>
            <w:r>
              <w:rPr>
                <w:rFonts w:ascii="Arial" w:eastAsia="Arial" w:hAnsi="Arial" w:cs="Arial"/>
                <w:b w:val="0"/>
                <w:i w:val="0"/>
                <w:strike w:val="0"/>
                <w:color w:val="000000"/>
                <w:sz w:val="13"/>
                <w:u w:val="none"/>
                <w:vertAlign w:val="baseline"/>
              </w:rPr>
              <w:t>-76</w:t>
            </w:r>
            <w:bookmarkStart w:id="1155" w:name="XBRL_CE_0d9182fe6a0f4524bc644fb6c1678b23"/>
            <w:bookmarkEnd w:id="1154"/>
            <w:bookmarkEnd w:id="1155"/>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56" w:name="XBRL_CS_53af891406ae46ffac0559f4f5ab531c"/>
            <w:bookmarkEnd w:id="1156"/>
            <w:bookmarkStart w:id="1157" w:name="53af891406ae46ffac0559f4f5ab531c"/>
            <w:bookmarkStart w:id="1158" w:name="XBRL_CE_53af891406ae46ffac0559f4f5ab531c"/>
            <w:bookmarkEnd w:id="1157"/>
            <w:bookmarkEnd w:id="1158"/>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59" w:name="XBRL_CS_1f46236fa22840f48be0017ff7a08636"/>
            <w:bookmarkEnd w:id="1159"/>
            <w:bookmarkStart w:id="1160" w:name="1f46236fa22840f48be0017ff7a08636"/>
            <w:bookmarkStart w:id="1161" w:name="XBRL_CE_1f46236fa22840f48be0017ff7a08636"/>
            <w:bookmarkEnd w:id="1160"/>
            <w:bookmarkEnd w:id="1161"/>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62" w:name="XBRL_CS_0a3c66ed9ce14009b9c04c5225262790"/>
            <w:bookmarkEnd w:id="1162"/>
            <w:bookmarkStart w:id="1163" w:name="0a3c66ed9ce14009b9c04c5225262790"/>
            <w:r>
              <w:rPr>
                <w:rFonts w:ascii="Arial" w:eastAsia="Arial" w:hAnsi="Arial" w:cs="Arial"/>
                <w:b w:val="0"/>
                <w:i w:val="0"/>
                <w:strike w:val="0"/>
                <w:color w:val="000000"/>
                <w:sz w:val="13"/>
                <w:u w:val="none"/>
                <w:vertAlign w:val="baseline"/>
              </w:rPr>
              <w:t>-76</w:t>
            </w:r>
            <w:bookmarkStart w:id="1164" w:name="XBRL_CE_0a3c66ed9ce14009b9c04c5225262790"/>
            <w:bookmarkEnd w:id="1163"/>
            <w:bookmarkEnd w:id="1164"/>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65" w:name="XBRL_CS_7a1094b8be0c4ee0a5c617d36ff3dc31"/>
            <w:bookmarkEnd w:id="1165"/>
            <w:bookmarkStart w:id="1166" w:name="7a1094b8be0c4ee0a5c617d36ff3dc31"/>
            <w:r>
              <w:rPr>
                <w:rFonts w:ascii="Arial" w:eastAsia="Arial" w:hAnsi="Arial" w:cs="Arial"/>
                <w:b w:val="0"/>
                <w:i w:val="0"/>
                <w:strike w:val="0"/>
                <w:color w:val="000000"/>
                <w:sz w:val="13"/>
                <w:u w:val="none"/>
                <w:vertAlign w:val="baseline"/>
              </w:rPr>
              <w:t>-1</w:t>
            </w:r>
            <w:bookmarkStart w:id="1167" w:name="XBRL_CE_7a1094b8be0c4ee0a5c617d36ff3dc31"/>
            <w:bookmarkEnd w:id="1166"/>
            <w:bookmarkEnd w:id="1167"/>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68" w:name="XBRL_CS_d6c06b1e80884248b35b13b2c68644da"/>
            <w:bookmarkEnd w:id="1168"/>
            <w:bookmarkStart w:id="1169" w:name="d6c06b1e80884248b35b13b2c68644da"/>
            <w:r>
              <w:rPr>
                <w:rFonts w:ascii="Arial" w:eastAsia="Arial" w:hAnsi="Arial" w:cs="Arial"/>
                <w:b w:val="0"/>
                <w:i w:val="0"/>
                <w:strike w:val="0"/>
                <w:color w:val="000000"/>
                <w:sz w:val="13"/>
                <w:u w:val="none"/>
                <w:vertAlign w:val="baseline"/>
              </w:rPr>
              <w:t>-77</w:t>
            </w:r>
            <w:bookmarkStart w:id="1170" w:name="XBRL_CE_d6c06b1e80884248b35b13b2c68644da"/>
            <w:bookmarkEnd w:id="1169"/>
            <w:bookmarkEnd w:id="1170"/>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Translation differences, transferred to statement of income</w:t>
            </w: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71" w:name="XBRL_CS_3781d7df6ec841f6baca2232b6f4fd46"/>
            <w:bookmarkEnd w:id="1171"/>
            <w:bookmarkStart w:id="1172" w:name="3781d7df6ec841f6baca2232b6f4fd46"/>
            <w:bookmarkStart w:id="1173" w:name="XBRL_CE_3781d7df6ec841f6baca2232b6f4fd46"/>
            <w:bookmarkEnd w:id="1172"/>
            <w:bookmarkEnd w:id="1173"/>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74" w:name="XBRL_CS_783563ed9e4c44e1b2608b064661f7ea"/>
            <w:bookmarkEnd w:id="1174"/>
            <w:bookmarkStart w:id="1175" w:name="783563ed9e4c44e1b2608b064661f7ea"/>
            <w:bookmarkStart w:id="1176" w:name="XBRL_CE_783563ed9e4c44e1b2608b064661f7ea"/>
            <w:bookmarkEnd w:id="1175"/>
            <w:bookmarkEnd w:id="1176"/>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77" w:name="XBRL_CS_96783c96e2a04ccdb167ff1aa6c16eba"/>
            <w:bookmarkEnd w:id="1177"/>
            <w:bookmarkStart w:id="1178" w:name="96783c96e2a04ccdb167ff1aa6c16eba"/>
            <w:r>
              <w:rPr>
                <w:rFonts w:ascii="Arial" w:eastAsia="Arial" w:hAnsi="Arial" w:cs="Arial"/>
                <w:b w:val="0"/>
                <w:i w:val="0"/>
                <w:strike w:val="0"/>
                <w:color w:val="000000"/>
                <w:sz w:val="13"/>
                <w:u w:val="none"/>
                <w:vertAlign w:val="baseline"/>
              </w:rPr>
              <w:t>-6</w:t>
            </w:r>
            <w:bookmarkStart w:id="1179" w:name="XBRL_CE_96783c96e2a04ccdb167ff1aa6c16eba"/>
            <w:bookmarkEnd w:id="1178"/>
            <w:bookmarkEnd w:id="1179"/>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80" w:name="XBRL_CS_446d75e3b1f8425b9f55d9b75e53ed9c"/>
            <w:bookmarkEnd w:id="1180"/>
            <w:bookmarkStart w:id="1181" w:name="446d75e3b1f8425b9f55d9b75e53ed9c"/>
            <w:bookmarkStart w:id="1182" w:name="XBRL_CE_446d75e3b1f8425b9f55d9b75e53ed9c"/>
            <w:bookmarkEnd w:id="1181"/>
            <w:bookmarkEnd w:id="1182"/>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83" w:name="XBRL_CS_a030b2d9ce604746ba0d0e8e13e5a51a"/>
            <w:bookmarkEnd w:id="1183"/>
            <w:bookmarkStart w:id="1184" w:name="a030b2d9ce604746ba0d0e8e13e5a51a"/>
            <w:bookmarkStart w:id="1185" w:name="XBRL_CE_a030b2d9ce604746ba0d0e8e13e5a51a"/>
            <w:bookmarkEnd w:id="1184"/>
            <w:bookmarkEnd w:id="1185"/>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86" w:name="XBRL_CS_ce19f0321a6b460d894ef297a64b2b54"/>
            <w:bookmarkEnd w:id="1186"/>
            <w:bookmarkStart w:id="1187" w:name="ce19f0321a6b460d894ef297a64b2b54"/>
            <w:r>
              <w:rPr>
                <w:rFonts w:ascii="Arial" w:eastAsia="Arial" w:hAnsi="Arial" w:cs="Arial"/>
                <w:b w:val="0"/>
                <w:i w:val="0"/>
                <w:strike w:val="0"/>
                <w:color w:val="000000"/>
                <w:sz w:val="13"/>
                <w:u w:val="none"/>
                <w:vertAlign w:val="baseline"/>
              </w:rPr>
              <w:t>-6</w:t>
            </w:r>
            <w:bookmarkStart w:id="1188" w:name="XBRL_CE_ce19f0321a6b460d894ef297a64b2b54"/>
            <w:bookmarkEnd w:id="1187"/>
            <w:bookmarkEnd w:id="1188"/>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89" w:name="XBRL_CS_5fc0820638024fc4948fecf1f217f063"/>
            <w:bookmarkEnd w:id="1189"/>
            <w:bookmarkStart w:id="1190" w:name="5fc0820638024fc4948fecf1f217f063"/>
            <w:bookmarkStart w:id="1191" w:name="XBRL_CE_5fc0820638024fc4948fecf1f217f063"/>
            <w:bookmarkEnd w:id="1190"/>
            <w:bookmarkEnd w:id="1191"/>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92" w:name="XBRL_CS_1ea1641370b04849b03d99c74d8cbadd"/>
            <w:bookmarkEnd w:id="1192"/>
            <w:bookmarkStart w:id="1193" w:name="1ea1641370b04849b03d99c74d8cbadd"/>
            <w:r>
              <w:rPr>
                <w:rFonts w:ascii="Arial" w:eastAsia="Arial" w:hAnsi="Arial" w:cs="Arial"/>
                <w:b w:val="0"/>
                <w:i w:val="0"/>
                <w:strike w:val="0"/>
                <w:color w:val="000000"/>
                <w:sz w:val="13"/>
                <w:u w:val="none"/>
                <w:vertAlign w:val="baseline"/>
              </w:rPr>
              <w:t>-6</w:t>
            </w:r>
            <w:bookmarkStart w:id="1194" w:name="XBRL_CE_1ea1641370b04849b03d99c74d8cbadd"/>
            <w:bookmarkEnd w:id="1193"/>
            <w:bookmarkEnd w:id="1194"/>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flow hedges</w:t>
            </w: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FFFFFF" w:fill="FFFFFF"/>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net change in fair value, net of taxes</w:t>
            </w: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95" w:name="XBRL_CS_0c78a02f9bf445488952f650f1db26ed"/>
            <w:bookmarkEnd w:id="1195"/>
            <w:bookmarkStart w:id="1196" w:name="0c78a02f9bf445488952f650f1db26ed"/>
            <w:bookmarkStart w:id="1197" w:name="XBRL_CE_0c78a02f9bf445488952f650f1db26ed"/>
            <w:bookmarkEnd w:id="1196"/>
            <w:bookmarkEnd w:id="1197"/>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98" w:name="XBRL_CS_54cf113bd40d4999b9e32f3b7cfb2494"/>
            <w:bookmarkEnd w:id="1198"/>
            <w:bookmarkStart w:id="1199" w:name="54cf113bd40d4999b9e32f3b7cfb2494"/>
            <w:bookmarkStart w:id="1200" w:name="XBRL_CE_54cf113bd40d4999b9e32f3b7cfb2494"/>
            <w:bookmarkEnd w:id="1199"/>
            <w:bookmarkEnd w:id="1200"/>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01" w:name="XBRL_CS_b9d8a810cfa94072a44f652a164f6e9f"/>
            <w:bookmarkEnd w:id="1201"/>
            <w:bookmarkStart w:id="1202" w:name="b9d8a810cfa94072a44f652a164f6e9f"/>
            <w:bookmarkStart w:id="1203" w:name="XBRL_CE_b9d8a810cfa94072a44f652a164f6e9f"/>
            <w:bookmarkEnd w:id="1202"/>
            <w:bookmarkEnd w:id="1203"/>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04" w:name="XBRL_CS_edad294eab3449acb48ed9cd7d4adb58"/>
            <w:bookmarkEnd w:id="1204"/>
            <w:bookmarkStart w:id="1205" w:name="edad294eab3449acb48ed9cd7d4adb58"/>
            <w:r>
              <w:rPr>
                <w:rFonts w:ascii="Arial" w:eastAsia="Arial" w:hAnsi="Arial" w:cs="Arial"/>
                <w:b w:val="0"/>
                <w:i w:val="0"/>
                <w:strike w:val="0"/>
                <w:color w:val="000000"/>
                <w:sz w:val="13"/>
                <w:u w:val="none"/>
                <w:vertAlign w:val="baseline"/>
              </w:rPr>
              <w:t>-3</w:t>
            </w:r>
            <w:bookmarkStart w:id="1206" w:name="XBRL_CE_edad294eab3449acb48ed9cd7d4adb58"/>
            <w:bookmarkEnd w:id="1205"/>
            <w:bookmarkEnd w:id="1206"/>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07" w:name="XBRL_CS_60d094ac42b04bea9038b4c0eb1f3a3e"/>
            <w:bookmarkEnd w:id="1207"/>
            <w:bookmarkStart w:id="1208" w:name="60d094ac42b04bea9038b4c0eb1f3a3e"/>
            <w:bookmarkStart w:id="1209" w:name="XBRL_CE_60d094ac42b04bea9038b4c0eb1f3a3e"/>
            <w:bookmarkEnd w:id="1208"/>
            <w:bookmarkEnd w:id="1209"/>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10" w:name="XBRL_CS_94553c7672fd4c35be3b24de06be7f74"/>
            <w:bookmarkEnd w:id="1210"/>
            <w:bookmarkStart w:id="1211" w:name="94553c7672fd4c35be3b24de06be7f74"/>
            <w:bookmarkStart w:id="1212" w:name="XBRL_CE_94553c7672fd4c35be3b24de06be7f74"/>
            <w:bookmarkEnd w:id="1211"/>
            <w:bookmarkEnd w:id="1212"/>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13" w:name="XBRL_CS_ac2ae5578c504cb88ef9a41fa44925f9"/>
            <w:bookmarkEnd w:id="1213"/>
            <w:bookmarkStart w:id="1214" w:name="ac2ae5578c504cb88ef9a41fa44925f9"/>
            <w:r>
              <w:rPr>
                <w:rFonts w:ascii="Arial" w:eastAsia="Arial" w:hAnsi="Arial" w:cs="Arial"/>
                <w:b w:val="0"/>
                <w:i w:val="0"/>
                <w:strike w:val="0"/>
                <w:color w:val="000000"/>
                <w:sz w:val="13"/>
                <w:u w:val="none"/>
                <w:vertAlign w:val="baseline"/>
              </w:rPr>
              <w:t>-3</w:t>
            </w:r>
            <w:bookmarkStart w:id="1215" w:name="XBRL_CE_ac2ae5578c504cb88ef9a41fa44925f9"/>
            <w:bookmarkEnd w:id="1214"/>
            <w:bookmarkEnd w:id="1215"/>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16" w:name="XBRL_CS_0e76be59cd774d64a9d142017669166f"/>
            <w:bookmarkEnd w:id="1216"/>
            <w:bookmarkStart w:id="1217" w:name="0e76be59cd774d64a9d142017669166f"/>
            <w:bookmarkStart w:id="1218" w:name="XBRL_CE_0e76be59cd774d64a9d142017669166f"/>
            <w:bookmarkEnd w:id="1217"/>
            <w:bookmarkEnd w:id="1218"/>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19" w:name="XBRL_CS_4ddd0b32738146a88c188484237f56b3"/>
            <w:bookmarkEnd w:id="1219"/>
            <w:bookmarkStart w:id="1220" w:name="4ddd0b32738146a88c188484237f56b3"/>
            <w:r>
              <w:rPr>
                <w:rFonts w:ascii="Arial" w:eastAsia="Arial" w:hAnsi="Arial" w:cs="Arial"/>
                <w:b w:val="0"/>
                <w:i w:val="0"/>
                <w:strike w:val="0"/>
                <w:color w:val="000000"/>
                <w:sz w:val="13"/>
                <w:u w:val="none"/>
                <w:vertAlign w:val="baseline"/>
              </w:rPr>
              <w:t>-3</w:t>
            </w:r>
            <w:bookmarkStart w:id="1221" w:name="XBRL_CE_4ddd0b32738146a88c188484237f56b3"/>
            <w:bookmarkEnd w:id="1220"/>
            <w:bookmarkEnd w:id="1221"/>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FFFFFF" w:fill="FFFFFF"/>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transferred to the statement of income, net of taxes</w:t>
            </w: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22" w:name="XBRL_CS_f9b37892e4274db4bef14262e6d150ff"/>
            <w:bookmarkEnd w:id="1222"/>
            <w:bookmarkStart w:id="1223" w:name="f9b37892e4274db4bef14262e6d150ff"/>
            <w:bookmarkStart w:id="1224" w:name="XBRL_CE_f9b37892e4274db4bef14262e6d150ff"/>
            <w:bookmarkEnd w:id="1223"/>
            <w:bookmarkEnd w:id="1224"/>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25" w:name="XBRL_CS_68a4851b06934d6a899cc515f42377d0"/>
            <w:bookmarkEnd w:id="1225"/>
            <w:bookmarkStart w:id="1226" w:name="68a4851b06934d6a899cc515f42377d0"/>
            <w:bookmarkStart w:id="1227" w:name="XBRL_CE_68a4851b06934d6a899cc515f42377d0"/>
            <w:bookmarkEnd w:id="1226"/>
            <w:bookmarkEnd w:id="1227"/>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28" w:name="XBRL_CS_c2fe8dc24f3a487998431013ca51aa2d"/>
            <w:bookmarkEnd w:id="1228"/>
            <w:bookmarkStart w:id="1229" w:name="c2fe8dc24f3a487998431013ca51aa2d"/>
            <w:bookmarkStart w:id="1230" w:name="XBRL_CE_c2fe8dc24f3a487998431013ca51aa2d"/>
            <w:bookmarkEnd w:id="1229"/>
            <w:bookmarkEnd w:id="1230"/>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31" w:name="XBRL_CS_b83be76722c943978464fb5a21032952"/>
            <w:bookmarkEnd w:id="1231"/>
            <w:bookmarkStart w:id="1232" w:name="b83be76722c943978464fb5a21032952"/>
            <w:r>
              <w:rPr>
                <w:rFonts w:ascii="Arial" w:eastAsia="Arial" w:hAnsi="Arial" w:cs="Arial"/>
                <w:b w:val="0"/>
                <w:i w:val="0"/>
                <w:strike w:val="0"/>
                <w:color w:val="000000"/>
                <w:sz w:val="13"/>
                <w:u w:val="none"/>
                <w:vertAlign w:val="baseline"/>
              </w:rPr>
              <w:t>5</w:t>
            </w:r>
            <w:bookmarkStart w:id="1233" w:name="XBRL_CE_b83be76722c943978464fb5a21032952"/>
            <w:bookmarkEnd w:id="1232"/>
            <w:bookmarkEnd w:id="1233"/>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34" w:name="XBRL_CS_d7a2e3746cfd435ea3805aabeb1fdcd6"/>
            <w:bookmarkEnd w:id="1234"/>
            <w:bookmarkStart w:id="1235" w:name="d7a2e3746cfd435ea3805aabeb1fdcd6"/>
            <w:bookmarkStart w:id="1236" w:name="XBRL_CE_d7a2e3746cfd435ea3805aabeb1fdcd6"/>
            <w:bookmarkEnd w:id="1235"/>
            <w:bookmarkEnd w:id="1236"/>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37" w:name="XBRL_CS_5f6eb0460d3e425997af877ac428792c"/>
            <w:bookmarkEnd w:id="1237"/>
            <w:bookmarkStart w:id="1238" w:name="5f6eb0460d3e425997af877ac428792c"/>
            <w:bookmarkStart w:id="1239" w:name="XBRL_CE_5f6eb0460d3e425997af877ac428792c"/>
            <w:bookmarkEnd w:id="1238"/>
            <w:bookmarkEnd w:id="1239"/>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40" w:name="XBRL_CS_44725999d91b45d78bf29a040fda8e05"/>
            <w:bookmarkEnd w:id="1240"/>
            <w:bookmarkStart w:id="1241" w:name="44725999d91b45d78bf29a040fda8e05"/>
            <w:r>
              <w:rPr>
                <w:rFonts w:ascii="Arial" w:eastAsia="Arial" w:hAnsi="Arial" w:cs="Arial"/>
                <w:b w:val="0"/>
                <w:i w:val="0"/>
                <w:strike w:val="0"/>
                <w:color w:val="000000"/>
                <w:sz w:val="13"/>
                <w:u w:val="none"/>
                <w:vertAlign w:val="baseline"/>
              </w:rPr>
              <w:t>5</w:t>
            </w:r>
            <w:bookmarkStart w:id="1242" w:name="XBRL_CE_44725999d91b45d78bf29a040fda8e05"/>
            <w:bookmarkEnd w:id="1241"/>
            <w:bookmarkEnd w:id="1242"/>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43" w:name="XBRL_CS_c7d2722af48c4b2b81744518fac9a84e"/>
            <w:bookmarkEnd w:id="1243"/>
            <w:bookmarkStart w:id="1244" w:name="c7d2722af48c4b2b81744518fac9a84e"/>
            <w:bookmarkStart w:id="1245" w:name="XBRL_CE_c7d2722af48c4b2b81744518fac9a84e"/>
            <w:bookmarkEnd w:id="1244"/>
            <w:bookmarkEnd w:id="1245"/>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46" w:name="XBRL_CS_b73c8de82f894ccbae82dfddeac785dc"/>
            <w:bookmarkEnd w:id="1246"/>
            <w:bookmarkStart w:id="1247" w:name="b73c8de82f894ccbae82dfddeac785dc"/>
            <w:r>
              <w:rPr>
                <w:rFonts w:ascii="Arial" w:eastAsia="Arial" w:hAnsi="Arial" w:cs="Arial"/>
                <w:b w:val="0"/>
                <w:i w:val="0"/>
                <w:strike w:val="0"/>
                <w:color w:val="000000"/>
                <w:sz w:val="13"/>
                <w:u w:val="none"/>
                <w:vertAlign w:val="baseline"/>
              </w:rPr>
              <w:t>5</w:t>
            </w:r>
            <w:bookmarkStart w:id="1248" w:name="XBRL_CE_b73c8de82f894ccbae82dfddeac785dc"/>
            <w:bookmarkEnd w:id="1247"/>
            <w:bookmarkEnd w:id="1248"/>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Defined benefit plans</w:t>
            </w: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49" w:name="XBRL_CS_3df3343a94314b688a836e172d27825e"/>
            <w:bookmarkEnd w:id="1249"/>
            <w:bookmarkStart w:id="1250" w:name="3df3343a94314b688a836e172d27825e"/>
            <w:bookmarkStart w:id="1251" w:name="XBRL_CE_3df3343a94314b688a836e172d27825e"/>
            <w:bookmarkEnd w:id="1250"/>
            <w:bookmarkEnd w:id="1251"/>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52" w:name="XBRL_CS_adfe4d9baacd4f6db90cf5ce6fe34304"/>
            <w:bookmarkEnd w:id="1252"/>
            <w:bookmarkStart w:id="1253" w:name="adfe4d9baacd4f6db90cf5ce6fe34304"/>
            <w:bookmarkStart w:id="1254" w:name="XBRL_CE_adfe4d9baacd4f6db90cf5ce6fe34304"/>
            <w:bookmarkEnd w:id="1253"/>
            <w:bookmarkEnd w:id="1254"/>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55" w:name="XBRL_CS_6bd29856c26f42f2b153c65a5d52e766"/>
            <w:bookmarkEnd w:id="1255"/>
            <w:bookmarkStart w:id="1256" w:name="6bd29856c26f42f2b153c65a5d52e766"/>
            <w:bookmarkStart w:id="1257" w:name="XBRL_CE_6bd29856c26f42f2b153c65a5d52e766"/>
            <w:bookmarkEnd w:id="1256"/>
            <w:bookmarkEnd w:id="1257"/>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58" w:name="XBRL_CS_8fdd252354fb427f9ce6afda64a7b80e"/>
            <w:bookmarkEnd w:id="1258"/>
            <w:bookmarkStart w:id="1259" w:name="8fdd252354fb427f9ce6afda64a7b80e"/>
            <w:r>
              <w:rPr>
                <w:rFonts w:ascii="Arial" w:eastAsia="Arial" w:hAnsi="Arial" w:cs="Arial"/>
                <w:b w:val="0"/>
                <w:i w:val="0"/>
                <w:strike w:val="0"/>
                <w:color w:val="000000"/>
                <w:sz w:val="13"/>
                <w:u w:val="none"/>
                <w:vertAlign w:val="baseline"/>
              </w:rPr>
              <w:t>5</w:t>
            </w:r>
            <w:bookmarkStart w:id="1260" w:name="XBRL_CE_8fdd252354fb427f9ce6afda64a7b80e"/>
            <w:bookmarkEnd w:id="1259"/>
            <w:bookmarkEnd w:id="1260"/>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61" w:name="XBRL_CS_54a24357712f4e819d216bb50a976a53"/>
            <w:bookmarkEnd w:id="1261"/>
            <w:bookmarkStart w:id="1262" w:name="54a24357712f4e819d216bb50a976a53"/>
            <w:bookmarkStart w:id="1263" w:name="XBRL_CE_54a24357712f4e819d216bb50a976a53"/>
            <w:bookmarkEnd w:id="1262"/>
            <w:bookmarkEnd w:id="1263"/>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64" w:name="XBRL_CS_c83ce4be67e3432d9b3e5a399743689c"/>
            <w:bookmarkEnd w:id="1264"/>
            <w:bookmarkStart w:id="1265" w:name="c83ce4be67e3432d9b3e5a399743689c"/>
            <w:r>
              <w:rPr>
                <w:rFonts w:ascii="Arial" w:eastAsia="Arial" w:hAnsi="Arial" w:cs="Arial"/>
                <w:b w:val="0"/>
                <w:i w:val="0"/>
                <w:strike w:val="0"/>
                <w:color w:val="000000"/>
                <w:sz w:val="13"/>
                <w:u w:val="none"/>
                <w:vertAlign w:val="baseline"/>
              </w:rPr>
              <w:t>5</w:t>
            </w:r>
            <w:bookmarkStart w:id="1266" w:name="XBRL_CE_c83ce4be67e3432d9b3e5a399743689c"/>
            <w:bookmarkEnd w:id="1265"/>
            <w:bookmarkEnd w:id="1266"/>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67" w:name="XBRL_CS_59bdb6cb917b48b19ffbb1ab602bd9be"/>
            <w:bookmarkEnd w:id="1267"/>
            <w:bookmarkStart w:id="1268" w:name="59bdb6cb917b48b19ffbb1ab602bd9be"/>
            <w:bookmarkStart w:id="1269" w:name="XBRL_CE_59bdb6cb917b48b19ffbb1ab602bd9be"/>
            <w:bookmarkEnd w:id="1268"/>
            <w:bookmarkEnd w:id="1269"/>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70" w:name="XBRL_CS_75f3f6c7644241c0bff3aec606dd4808"/>
            <w:bookmarkEnd w:id="1270"/>
            <w:bookmarkStart w:id="1271" w:name="75f3f6c7644241c0bff3aec606dd4808"/>
            <w:r>
              <w:rPr>
                <w:rFonts w:ascii="Arial" w:eastAsia="Arial" w:hAnsi="Arial" w:cs="Arial"/>
                <w:b w:val="0"/>
                <w:i w:val="0"/>
                <w:strike w:val="0"/>
                <w:color w:val="000000"/>
                <w:sz w:val="13"/>
                <w:u w:val="none"/>
                <w:vertAlign w:val="baseline"/>
              </w:rPr>
              <w:t>5</w:t>
            </w:r>
            <w:bookmarkStart w:id="1272" w:name="XBRL_CE_75f3f6c7644241c0bff3aec606dd4808"/>
            <w:bookmarkEnd w:id="1271"/>
            <w:bookmarkEnd w:id="1272"/>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changes</w:t>
            </w:r>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73" w:name="XBRL_CS_f62d2e5d723e443f91abe6ea8af7aa4c"/>
            <w:bookmarkEnd w:id="1273"/>
            <w:bookmarkStart w:id="1274" w:name="f62d2e5d723e443f91abe6ea8af7aa4c"/>
            <w:bookmarkStart w:id="1275" w:name="XBRL_CE_f62d2e5d723e443f91abe6ea8af7aa4c"/>
            <w:bookmarkEnd w:id="1274"/>
            <w:bookmarkEnd w:id="1275"/>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76" w:name="XBRL_CS_796383ef728649ec84cbda1c5ef726bf"/>
            <w:bookmarkEnd w:id="1276"/>
            <w:bookmarkStart w:id="1277" w:name="796383ef728649ec84cbda1c5ef726bf"/>
            <w:bookmarkStart w:id="1278" w:name="XBRL_CE_796383ef728649ec84cbda1c5ef726bf"/>
            <w:bookmarkEnd w:id="1277"/>
            <w:bookmarkEnd w:id="1278"/>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79" w:name="XBRL_CS_df26cc9735cb4bccba610159e08ad929"/>
            <w:bookmarkEnd w:id="1279"/>
            <w:bookmarkStart w:id="1280" w:name="df26cc9735cb4bccba610159e08ad929"/>
            <w:bookmarkStart w:id="1281" w:name="XBRL_CE_df26cc9735cb4bccba610159e08ad929"/>
            <w:bookmarkEnd w:id="1280"/>
            <w:bookmarkEnd w:id="1281"/>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82" w:name="XBRL_CS_6bc0bdf1f17c40d287655aebb4964c48"/>
            <w:bookmarkEnd w:id="1282"/>
            <w:bookmarkStart w:id="1283" w:name="6bc0bdf1f17c40d287655aebb4964c48"/>
            <w:r>
              <w:rPr>
                <w:rFonts w:ascii="Arial" w:eastAsia="Arial" w:hAnsi="Arial" w:cs="Arial"/>
                <w:b w:val="0"/>
                <w:i w:val="0"/>
                <w:strike w:val="0"/>
                <w:color w:val="000000"/>
                <w:sz w:val="13"/>
                <w:u w:val="none"/>
                <w:vertAlign w:val="baseline"/>
              </w:rPr>
              <w:t>5</w:t>
            </w:r>
            <w:bookmarkStart w:id="1284" w:name="XBRL_CE_6bc0bdf1f17c40d287655aebb4964c48"/>
            <w:bookmarkEnd w:id="1283"/>
            <w:bookmarkEnd w:id="1284"/>
          </w:p>
        </w:tc>
        <w:tc>
          <w:tcPr>
            <w:tcW w:w="127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85" w:name="XBRL_CS_d2659e4aad9547908b43ea5e059cfd42"/>
            <w:bookmarkEnd w:id="1285"/>
            <w:bookmarkStart w:id="1286" w:name="d2659e4aad9547908b43ea5e059cfd42"/>
            <w:r>
              <w:rPr>
                <w:rFonts w:ascii="Arial" w:eastAsia="Arial" w:hAnsi="Arial" w:cs="Arial"/>
                <w:b w:val="0"/>
                <w:i w:val="0"/>
                <w:strike w:val="0"/>
                <w:color w:val="000000"/>
                <w:sz w:val="13"/>
                <w:u w:val="none"/>
                <w:vertAlign w:val="baseline"/>
              </w:rPr>
              <w:t>-5</w:t>
            </w:r>
            <w:bookmarkStart w:id="1287" w:name="XBRL_CE_d2659e4aad9547908b43ea5e059cfd42"/>
            <w:bookmarkEnd w:id="1286"/>
            <w:bookmarkEnd w:id="1287"/>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88" w:name="XBRL_CS_23cb2aedb5e1447599c1bd6055fca6eb"/>
            <w:bookmarkEnd w:id="1288"/>
            <w:bookmarkStart w:id="1289" w:name="23cb2aedb5e1447599c1bd6055fca6eb"/>
            <w:bookmarkStart w:id="1290" w:name="XBRL_CE_23cb2aedb5e1447599c1bd6055fca6eb"/>
            <w:bookmarkEnd w:id="1289"/>
            <w:bookmarkEnd w:id="1290"/>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91" w:name="XBRL_CS_93f42f638df64c128fc3fe8026ab8319"/>
            <w:bookmarkEnd w:id="1291"/>
            <w:bookmarkStart w:id="1292" w:name="93f42f638df64c128fc3fe8026ab8319"/>
            <w:bookmarkStart w:id="1293" w:name="XBRL_CE_93f42f638df64c128fc3fe8026ab8319"/>
            <w:bookmarkEnd w:id="1292"/>
            <w:bookmarkEnd w:id="1293"/>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94" w:name="XBRL_CS_a1210224883e4e759195d360086c3724"/>
            <w:bookmarkEnd w:id="1294"/>
            <w:bookmarkStart w:id="1295" w:name="a1210224883e4e759195d360086c3724"/>
            <w:bookmarkStart w:id="1296" w:name="XBRL_CE_a1210224883e4e759195d360086c3724"/>
            <w:bookmarkEnd w:id="1295"/>
            <w:bookmarkEnd w:id="1296"/>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Other comprehensive income</w:t>
            </w:r>
          </w:p>
        </w:tc>
        <w:tc>
          <w:tcPr>
            <w:tcW w:w="127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97" w:name="XBRL_CS_a06278df335642148906c8851d45f0c6"/>
            <w:bookmarkEnd w:id="1297"/>
            <w:bookmarkStart w:id="1298" w:name="a06278df335642148906c8851d45f0c6"/>
            <w:bookmarkStart w:id="1299" w:name="XBRL_CE_a06278df335642148906c8851d45f0c6"/>
            <w:bookmarkEnd w:id="1298"/>
            <w:bookmarkEnd w:id="1299"/>
          </w:p>
        </w:tc>
        <w:tc>
          <w:tcPr>
            <w:tcW w:w="127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00" w:name="XBRL_CS_d0530db21a0e4aaabb7ecf32a87ab368"/>
            <w:bookmarkEnd w:id="1300"/>
            <w:bookmarkStart w:id="1301" w:name="d0530db21a0e4aaabb7ecf32a87ab368"/>
            <w:bookmarkStart w:id="1302" w:name="XBRL_CE_d0530db21a0e4aaabb7ecf32a87ab368"/>
            <w:bookmarkEnd w:id="1301"/>
            <w:bookmarkEnd w:id="1302"/>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03" w:name="XBRL_CS_4d842bb8c2d941d7820d4eaf296ca2de"/>
            <w:bookmarkEnd w:id="1303"/>
            <w:bookmarkStart w:id="1304" w:name="4d842bb8c2d941d7820d4eaf296ca2de"/>
            <w:r>
              <w:rPr>
                <w:rFonts w:ascii="Arial" w:eastAsia="Arial" w:hAnsi="Arial" w:cs="Arial"/>
                <w:b w:val="0"/>
                <w:i w:val="0"/>
                <w:strike w:val="0"/>
                <w:color w:val="000000"/>
                <w:sz w:val="13"/>
                <w:u w:val="none"/>
                <w:vertAlign w:val="baseline"/>
              </w:rPr>
              <w:t>-82</w:t>
            </w:r>
            <w:bookmarkStart w:id="1305" w:name="XBRL_CE_4d842bb8c2d941d7820d4eaf296ca2de"/>
            <w:bookmarkEnd w:id="1304"/>
            <w:bookmarkEnd w:id="1305"/>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06" w:name="XBRL_CS_294a02ed13f247489f84f1cc82469105"/>
            <w:bookmarkEnd w:id="1306"/>
            <w:bookmarkStart w:id="1307" w:name="294a02ed13f247489f84f1cc82469105"/>
            <w:r>
              <w:rPr>
                <w:rFonts w:ascii="Arial" w:eastAsia="Arial" w:hAnsi="Arial" w:cs="Arial"/>
                <w:b w:val="0"/>
                <w:i w:val="0"/>
                <w:strike w:val="0"/>
                <w:color w:val="000000"/>
                <w:sz w:val="13"/>
                <w:u w:val="none"/>
                <w:vertAlign w:val="baseline"/>
              </w:rPr>
              <w:t>2</w:t>
            </w:r>
            <w:bookmarkStart w:id="1308" w:name="XBRL_CE_294a02ed13f247489f84f1cc82469105"/>
            <w:bookmarkEnd w:id="1307"/>
            <w:bookmarkEnd w:id="1308"/>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09" w:name="XBRL_CS_872967daef9e4ca2b35551794bf34fe7"/>
            <w:bookmarkEnd w:id="1309"/>
            <w:bookmarkStart w:id="1310" w:name="872967daef9e4ca2b35551794bf34fe7"/>
            <w:r>
              <w:rPr>
                <w:rFonts w:ascii="Arial" w:eastAsia="Arial" w:hAnsi="Arial" w:cs="Arial"/>
                <w:b w:val="0"/>
                <w:i w:val="0"/>
                <w:strike w:val="0"/>
                <w:color w:val="000000"/>
                <w:sz w:val="13"/>
                <w:u w:val="none"/>
                <w:vertAlign w:val="baseline"/>
              </w:rPr>
              <w:t>10</w:t>
            </w:r>
            <w:bookmarkStart w:id="1311" w:name="XBRL_CE_872967daef9e4ca2b35551794bf34fe7"/>
            <w:bookmarkEnd w:id="1310"/>
            <w:bookmarkEnd w:id="1311"/>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12" w:name="XBRL_CS_b3d5d488449c480eb729e0de4d72c534"/>
            <w:bookmarkEnd w:id="1312"/>
            <w:bookmarkStart w:id="1313" w:name="b3d5d488449c480eb729e0de4d72c534"/>
            <w:r>
              <w:rPr>
                <w:rFonts w:ascii="Arial" w:eastAsia="Arial" w:hAnsi="Arial" w:cs="Arial"/>
                <w:b w:val="0"/>
                <w:i w:val="0"/>
                <w:strike w:val="0"/>
                <w:color w:val="000000"/>
                <w:sz w:val="13"/>
                <w:u w:val="none"/>
                <w:vertAlign w:val="baseline"/>
              </w:rPr>
              <w:t>-5</w:t>
            </w:r>
            <w:bookmarkStart w:id="1314" w:name="XBRL_CE_b3d5d488449c480eb729e0de4d72c534"/>
            <w:bookmarkEnd w:id="1313"/>
            <w:bookmarkEnd w:id="1314"/>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15" w:name="XBRL_CS_ea61294f35564f63aff2740e1bedfc63"/>
            <w:bookmarkEnd w:id="1315"/>
            <w:bookmarkStart w:id="1316" w:name="ea61294f35564f63aff2740e1bedfc63"/>
            <w:r>
              <w:rPr>
                <w:rFonts w:ascii="Arial" w:eastAsia="Arial" w:hAnsi="Arial" w:cs="Arial"/>
                <w:b w:val="0"/>
                <w:i w:val="0"/>
                <w:strike w:val="0"/>
                <w:color w:val="000000"/>
                <w:sz w:val="13"/>
                <w:u w:val="none"/>
                <w:vertAlign w:val="baseline"/>
              </w:rPr>
              <w:t>-75</w:t>
            </w:r>
            <w:bookmarkStart w:id="1317" w:name="XBRL_CE_ea61294f35564f63aff2740e1bedfc63"/>
            <w:bookmarkEnd w:id="1316"/>
            <w:bookmarkEnd w:id="1317"/>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18" w:name="XBRL_CS_3922ba7306384fd1a1feba0fda2f9899"/>
            <w:bookmarkEnd w:id="1318"/>
            <w:bookmarkStart w:id="1319" w:name="3922ba7306384fd1a1feba0fda2f9899"/>
            <w:r>
              <w:rPr>
                <w:rFonts w:ascii="Arial" w:eastAsia="Arial" w:hAnsi="Arial" w:cs="Arial"/>
                <w:b w:val="0"/>
                <w:i w:val="0"/>
                <w:strike w:val="0"/>
                <w:color w:val="000000"/>
                <w:sz w:val="13"/>
                <w:u w:val="none"/>
                <w:vertAlign w:val="baseline"/>
              </w:rPr>
              <w:t>-1</w:t>
            </w:r>
            <w:bookmarkStart w:id="1320" w:name="XBRL_CE_3922ba7306384fd1a1feba0fda2f9899"/>
            <w:bookmarkEnd w:id="1319"/>
            <w:bookmarkEnd w:id="1320"/>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21" w:name="XBRL_CS_2540a176f9f04a1bb5b646771b1ef5b0"/>
            <w:bookmarkEnd w:id="1321"/>
            <w:bookmarkStart w:id="1322" w:name="2540a176f9f04a1bb5b646771b1ef5b0"/>
            <w:r>
              <w:rPr>
                <w:rFonts w:ascii="Arial" w:eastAsia="Arial" w:hAnsi="Arial" w:cs="Arial"/>
                <w:b w:val="0"/>
                <w:i w:val="0"/>
                <w:strike w:val="0"/>
                <w:color w:val="000000"/>
                <w:sz w:val="13"/>
                <w:u w:val="none"/>
                <w:vertAlign w:val="baseline"/>
              </w:rPr>
              <w:t>-76</w:t>
            </w:r>
            <w:bookmarkStart w:id="1323" w:name="XBRL_CE_2540a176f9f04a1bb5b646771b1ef5b0"/>
            <w:bookmarkEnd w:id="1322"/>
            <w:bookmarkEnd w:id="1323"/>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Profit for the financial period</w:t>
            </w:r>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24" w:name="XBRL_CS_3d36d00c14f54cf293090fd0e8e32734"/>
            <w:bookmarkEnd w:id="1324"/>
            <w:bookmarkStart w:id="1325" w:name="3d36d00c14f54cf293090fd0e8e32734"/>
            <w:bookmarkStart w:id="1326" w:name="XBRL_CE_3d36d00c14f54cf293090fd0e8e32734"/>
            <w:bookmarkEnd w:id="1325"/>
            <w:bookmarkEnd w:id="1326"/>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27" w:name="XBRL_CS_55c16fcfe1e14cf2a94883741a4176ce"/>
            <w:bookmarkEnd w:id="1327"/>
            <w:bookmarkStart w:id="1328" w:name="55c16fcfe1e14cf2a94883741a4176ce"/>
            <w:bookmarkStart w:id="1329" w:name="XBRL_CE_55c16fcfe1e14cf2a94883741a4176ce"/>
            <w:bookmarkEnd w:id="1328"/>
            <w:bookmarkEnd w:id="1329"/>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30" w:name="XBRL_CS_3c8bd0b0e40d4cae9558fc07777a35c3"/>
            <w:bookmarkEnd w:id="1330"/>
            <w:bookmarkStart w:id="1331" w:name="3c8bd0b0e40d4cae9558fc07777a35c3"/>
            <w:bookmarkStart w:id="1332" w:name="XBRL_CE_3c8bd0b0e40d4cae9558fc07777a35c3"/>
            <w:bookmarkEnd w:id="1331"/>
            <w:bookmarkEnd w:id="1332"/>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33" w:name="XBRL_CS_f7744d57a448413e8fc4133983cad960"/>
            <w:bookmarkEnd w:id="1333"/>
            <w:bookmarkStart w:id="1334" w:name="f7744d57a448413e8fc4133983cad960"/>
            <w:bookmarkStart w:id="1335" w:name="XBRL_CE_f7744d57a448413e8fc4133983cad960"/>
            <w:bookmarkEnd w:id="1334"/>
            <w:bookmarkEnd w:id="1335"/>
          </w:p>
        </w:tc>
        <w:tc>
          <w:tcPr>
            <w:tcW w:w="127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36" w:name="XBRL_CS_82efa57a40944a19ac5276a988894422"/>
            <w:bookmarkEnd w:id="1336"/>
            <w:bookmarkStart w:id="1337" w:name="82efa57a40944a19ac5276a988894422"/>
            <w:r>
              <w:rPr>
                <w:rFonts w:ascii="Arial" w:eastAsia="Arial" w:hAnsi="Arial" w:cs="Arial"/>
                <w:b w:val="0"/>
                <w:i w:val="0"/>
                <w:strike w:val="0"/>
                <w:color w:val="000000"/>
                <w:sz w:val="13"/>
                <w:u w:val="none"/>
                <w:vertAlign w:val="baseline"/>
              </w:rPr>
              <w:t>134</w:t>
            </w:r>
            <w:bookmarkStart w:id="1338" w:name="XBRL_CE_82efa57a40944a19ac5276a988894422"/>
            <w:bookmarkEnd w:id="1337"/>
            <w:bookmarkEnd w:id="1338"/>
          </w:p>
        </w:tc>
        <w:tc>
          <w:tcPr>
            <w:tcW w:w="127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39" w:name="XBRL_CS_f47efd54d54d47148f008870b708fb9a"/>
            <w:bookmarkEnd w:id="1339"/>
            <w:bookmarkStart w:id="1340" w:name="f47efd54d54d47148f008870b708fb9a"/>
            <w:r>
              <w:rPr>
                <w:rFonts w:ascii="Arial" w:eastAsia="Arial" w:hAnsi="Arial" w:cs="Arial"/>
                <w:b w:val="0"/>
                <w:i w:val="0"/>
                <w:strike w:val="0"/>
                <w:color w:val="000000"/>
                <w:sz w:val="13"/>
                <w:u w:val="none"/>
                <w:vertAlign w:val="baseline"/>
              </w:rPr>
              <w:t>134</w:t>
            </w:r>
            <w:bookmarkStart w:id="1341" w:name="XBRL_CE_f47efd54d54d47148f008870b708fb9a"/>
            <w:bookmarkEnd w:id="1340"/>
            <w:bookmarkEnd w:id="1341"/>
          </w:p>
        </w:tc>
        <w:tc>
          <w:tcPr>
            <w:tcW w:w="127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42" w:name="XBRL_CS_6423ce4756cc408983852df30144bbd0"/>
            <w:bookmarkEnd w:id="1342"/>
            <w:bookmarkStart w:id="1343" w:name="6423ce4756cc408983852df30144bbd0"/>
            <w:r>
              <w:rPr>
                <w:rFonts w:ascii="Arial" w:eastAsia="Arial" w:hAnsi="Arial" w:cs="Arial"/>
                <w:b w:val="0"/>
                <w:i w:val="0"/>
                <w:strike w:val="0"/>
                <w:color w:val="000000"/>
                <w:sz w:val="13"/>
                <w:u w:val="none"/>
                <w:vertAlign w:val="baseline"/>
              </w:rPr>
              <w:t>-1</w:t>
            </w:r>
            <w:bookmarkStart w:id="1344" w:name="XBRL_CE_6423ce4756cc408983852df30144bbd0"/>
            <w:bookmarkEnd w:id="1343"/>
            <w:bookmarkEnd w:id="1344"/>
          </w:p>
        </w:tc>
        <w:tc>
          <w:tcPr>
            <w:tcW w:w="127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45" w:name="XBRL_CS_20583792d3b04b80a0e53718ed948fd3"/>
            <w:bookmarkEnd w:id="1345"/>
            <w:bookmarkStart w:id="1346" w:name="20583792d3b04b80a0e53718ed948fd3"/>
            <w:r>
              <w:rPr>
                <w:rFonts w:ascii="Arial" w:eastAsia="Arial" w:hAnsi="Arial" w:cs="Arial"/>
                <w:b w:val="0"/>
                <w:i w:val="0"/>
                <w:strike w:val="0"/>
                <w:color w:val="000000"/>
                <w:sz w:val="13"/>
                <w:u w:val="none"/>
                <w:vertAlign w:val="baseline"/>
              </w:rPr>
              <w:t>133</w:t>
            </w:r>
            <w:bookmarkStart w:id="1347" w:name="XBRL_CE_20583792d3b04b80a0e53718ed948fd3"/>
            <w:bookmarkEnd w:id="1346"/>
            <w:bookmarkEnd w:id="1347"/>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comprehensive income for the financial period</w:t>
            </w:r>
          </w:p>
        </w:tc>
        <w:tc>
          <w:tcPr>
            <w:tcW w:w="127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48" w:name="XBRL_CS_60a9a041f8174760ba785895ca53be07"/>
            <w:bookmarkEnd w:id="1348"/>
            <w:bookmarkStart w:id="1349" w:name="60a9a041f8174760ba785895ca53be07"/>
            <w:r>
              <w:rPr>
                <w:rFonts w:ascii="Arial" w:eastAsia="Arial" w:hAnsi="Arial" w:cs="Arial"/>
                <w:b w:val="0"/>
                <w:i w:val="0"/>
                <w:strike w:val="0"/>
                <w:color w:val="000000"/>
                <w:sz w:val="13"/>
                <w:u w:val="none"/>
                <w:vertAlign w:val="baseline"/>
              </w:rPr>
              <w:t>-82</w:t>
            </w:r>
            <w:bookmarkStart w:id="1350" w:name="XBRL_CE_60a9a041f8174760ba785895ca53be07"/>
            <w:bookmarkEnd w:id="1349"/>
            <w:bookmarkEnd w:id="1350"/>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51" w:name="XBRL_CS_35538af7356149ed9ac1288861de1dd8"/>
            <w:bookmarkEnd w:id="1351"/>
            <w:bookmarkStart w:id="1352" w:name="35538af7356149ed9ac1288861de1dd8"/>
            <w:r>
              <w:rPr>
                <w:rFonts w:ascii="Arial" w:eastAsia="Arial" w:hAnsi="Arial" w:cs="Arial"/>
                <w:b w:val="0"/>
                <w:i w:val="0"/>
                <w:strike w:val="0"/>
                <w:color w:val="000000"/>
                <w:sz w:val="13"/>
                <w:u w:val="none"/>
                <w:vertAlign w:val="baseline"/>
              </w:rPr>
              <w:t>2</w:t>
            </w:r>
            <w:bookmarkStart w:id="1353" w:name="XBRL_CE_35538af7356149ed9ac1288861de1dd8"/>
            <w:bookmarkEnd w:id="1352"/>
            <w:bookmarkEnd w:id="1353"/>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54" w:name="XBRL_CS_b4304b505b0246d2a512d2e1cfd52040"/>
            <w:bookmarkEnd w:id="1354"/>
            <w:bookmarkStart w:id="1355" w:name="b4304b505b0246d2a512d2e1cfd52040"/>
            <w:r>
              <w:rPr>
                <w:rFonts w:ascii="Arial" w:eastAsia="Arial" w:hAnsi="Arial" w:cs="Arial"/>
                <w:b w:val="0"/>
                <w:i w:val="0"/>
                <w:strike w:val="0"/>
                <w:color w:val="000000"/>
                <w:sz w:val="13"/>
                <w:u w:val="none"/>
                <w:vertAlign w:val="baseline"/>
              </w:rPr>
              <w:t>10</w:t>
            </w:r>
            <w:bookmarkStart w:id="1356" w:name="XBRL_CE_b4304b505b0246d2a512d2e1cfd52040"/>
            <w:bookmarkEnd w:id="1355"/>
            <w:bookmarkEnd w:id="1356"/>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57" w:name="XBRL_CS_5c79136a7f364481a5176808df831821"/>
            <w:bookmarkEnd w:id="1357"/>
            <w:bookmarkStart w:id="1358" w:name="5c79136a7f364481a5176808df831821"/>
            <w:r>
              <w:rPr>
                <w:rFonts w:ascii="Arial" w:eastAsia="Arial" w:hAnsi="Arial" w:cs="Arial"/>
                <w:b w:val="0"/>
                <w:i w:val="0"/>
                <w:strike w:val="0"/>
                <w:color w:val="000000"/>
                <w:sz w:val="13"/>
                <w:u w:val="none"/>
                <w:vertAlign w:val="baseline"/>
              </w:rPr>
              <w:t>129</w:t>
            </w:r>
            <w:bookmarkStart w:id="1359" w:name="XBRL_CE_5c79136a7f364481a5176808df831821"/>
            <w:bookmarkEnd w:id="1358"/>
            <w:bookmarkEnd w:id="1359"/>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60" w:name="XBRL_CS_3a8ad2e0326140c78817e8d8a89e44f2"/>
            <w:bookmarkEnd w:id="1360"/>
            <w:bookmarkStart w:id="1361" w:name="3a8ad2e0326140c78817e8d8a89e44f2"/>
            <w:r>
              <w:rPr>
                <w:rFonts w:ascii="Arial" w:eastAsia="Arial" w:hAnsi="Arial" w:cs="Arial"/>
                <w:b w:val="0"/>
                <w:i w:val="0"/>
                <w:strike w:val="0"/>
                <w:color w:val="000000"/>
                <w:sz w:val="13"/>
                <w:u w:val="none"/>
                <w:vertAlign w:val="baseline"/>
              </w:rPr>
              <w:t>59</w:t>
            </w:r>
            <w:bookmarkStart w:id="1362" w:name="XBRL_CE_3a8ad2e0326140c78817e8d8a89e44f2"/>
            <w:bookmarkEnd w:id="1361"/>
            <w:bookmarkEnd w:id="1362"/>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63" w:name="XBRL_CS_ff4066546d8942a5ab1a50feef972ffb"/>
            <w:bookmarkEnd w:id="1363"/>
            <w:bookmarkStart w:id="1364" w:name="ff4066546d8942a5ab1a50feef972ffb"/>
            <w:r>
              <w:rPr>
                <w:rFonts w:ascii="Arial" w:eastAsia="Arial" w:hAnsi="Arial" w:cs="Arial"/>
                <w:b w:val="0"/>
                <w:i w:val="0"/>
                <w:strike w:val="0"/>
                <w:color w:val="000000"/>
                <w:sz w:val="13"/>
                <w:u w:val="none"/>
                <w:vertAlign w:val="baseline"/>
              </w:rPr>
              <w:t>-1</w:t>
            </w:r>
            <w:bookmarkStart w:id="1365" w:name="XBRL_CE_ff4066546d8942a5ab1a50feef972ffb"/>
            <w:bookmarkEnd w:id="1364"/>
            <w:bookmarkEnd w:id="1365"/>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66" w:name="XBRL_CS_76bd76ba3e6649e69cf05288506a050c"/>
            <w:bookmarkEnd w:id="1366"/>
            <w:bookmarkStart w:id="1367" w:name="76bd76ba3e6649e69cf05288506a050c"/>
            <w:r>
              <w:rPr>
                <w:rFonts w:ascii="Arial" w:eastAsia="Arial" w:hAnsi="Arial" w:cs="Arial"/>
                <w:b w:val="0"/>
                <w:i w:val="0"/>
                <w:strike w:val="0"/>
                <w:color w:val="000000"/>
                <w:sz w:val="13"/>
                <w:u w:val="none"/>
                <w:vertAlign w:val="baseline"/>
              </w:rPr>
              <w:t>57</w:t>
            </w:r>
            <w:bookmarkStart w:id="1368" w:name="XBRL_CE_76bd76ba3e6649e69cf05288506a050c"/>
            <w:bookmarkEnd w:id="1367"/>
            <w:bookmarkEnd w:id="1368"/>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Dividends paid</w:t>
            </w: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69" w:name="XBRL_CS_95dc6f75ef024335b794c4af97bf9f62"/>
            <w:bookmarkEnd w:id="1369"/>
            <w:bookmarkStart w:id="1370" w:name="95dc6f75ef024335b794c4af97bf9f62"/>
            <w:bookmarkStart w:id="1371" w:name="XBRL_CE_95dc6f75ef024335b794c4af97bf9f62"/>
            <w:bookmarkEnd w:id="1370"/>
            <w:bookmarkEnd w:id="1371"/>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72" w:name="XBRL_CS_20fe93ed3f7748a4a903fe3d1296e1a2"/>
            <w:bookmarkEnd w:id="1372"/>
            <w:bookmarkStart w:id="1373" w:name="20fe93ed3f7748a4a903fe3d1296e1a2"/>
            <w:bookmarkStart w:id="1374" w:name="XBRL_CE_20fe93ed3f7748a4a903fe3d1296e1a2"/>
            <w:bookmarkEnd w:id="1373"/>
            <w:bookmarkEnd w:id="1374"/>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75" w:name="XBRL_CS_690516a11c374b2da32a15bf11902c46"/>
            <w:bookmarkEnd w:id="1375"/>
            <w:bookmarkStart w:id="1376" w:name="690516a11c374b2da32a15bf11902c46"/>
            <w:bookmarkStart w:id="1377" w:name="XBRL_CE_690516a11c374b2da32a15bf11902c46"/>
            <w:bookmarkEnd w:id="1376"/>
            <w:bookmarkEnd w:id="1377"/>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78" w:name="XBRL_CS_1160cae061234751bbed888f07a29f84"/>
            <w:bookmarkEnd w:id="1378"/>
            <w:bookmarkStart w:id="1379" w:name="1160cae061234751bbed888f07a29f84"/>
            <w:bookmarkStart w:id="1380" w:name="XBRL_CE_1160cae061234751bbed888f07a29f84"/>
            <w:bookmarkEnd w:id="1379"/>
            <w:bookmarkEnd w:id="1380"/>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81" w:name="XBRL_CS_fa4681c218ba46ef845eb4e2b193ada8"/>
            <w:bookmarkEnd w:id="1381"/>
            <w:bookmarkStart w:id="1382" w:name="fa4681c218ba46ef845eb4e2b193ada8"/>
            <w:r>
              <w:rPr>
                <w:rFonts w:ascii="Arial" w:eastAsia="Arial" w:hAnsi="Arial" w:cs="Arial"/>
                <w:b w:val="0"/>
                <w:i w:val="0"/>
                <w:strike w:val="0"/>
                <w:color w:val="000000"/>
                <w:sz w:val="13"/>
                <w:u w:val="none"/>
                <w:vertAlign w:val="baseline"/>
              </w:rPr>
              <w:t>-284</w:t>
            </w:r>
            <w:bookmarkStart w:id="1383" w:name="XBRL_CE_fa4681c218ba46ef845eb4e2b193ada8"/>
            <w:bookmarkEnd w:id="1382"/>
            <w:bookmarkEnd w:id="1383"/>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84" w:name="XBRL_CS_53d890532b164397b935df68c9e6663e"/>
            <w:bookmarkEnd w:id="1384"/>
            <w:bookmarkStart w:id="1385" w:name="53d890532b164397b935df68c9e6663e"/>
            <w:r>
              <w:rPr>
                <w:rFonts w:ascii="Arial" w:eastAsia="Arial" w:hAnsi="Arial" w:cs="Arial"/>
                <w:b w:val="0"/>
                <w:i w:val="0"/>
                <w:strike w:val="0"/>
                <w:color w:val="000000"/>
                <w:sz w:val="13"/>
                <w:u w:val="none"/>
                <w:vertAlign w:val="baseline"/>
              </w:rPr>
              <w:t>-284</w:t>
            </w:r>
            <w:bookmarkStart w:id="1386" w:name="XBRL_CE_53d890532b164397b935df68c9e6663e"/>
            <w:bookmarkEnd w:id="1385"/>
            <w:bookmarkEnd w:id="1386"/>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87" w:name="XBRL_CS_80557a76445f464baffad128f6eee343"/>
            <w:bookmarkEnd w:id="1387"/>
            <w:bookmarkStart w:id="1388" w:name="80557a76445f464baffad128f6eee343"/>
            <w:r>
              <w:rPr>
                <w:rFonts w:ascii="Arial" w:eastAsia="Arial" w:hAnsi="Arial" w:cs="Arial"/>
                <w:b w:val="0"/>
                <w:i w:val="0"/>
                <w:strike w:val="0"/>
                <w:color w:val="000000"/>
                <w:sz w:val="13"/>
                <w:u w:val="none"/>
                <w:vertAlign w:val="baseline"/>
              </w:rPr>
              <w:t>-2</w:t>
            </w:r>
            <w:bookmarkStart w:id="1389" w:name="XBRL_CE_80557a76445f464baffad128f6eee343"/>
            <w:bookmarkEnd w:id="1388"/>
            <w:bookmarkEnd w:id="1389"/>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90" w:name="XBRL_CS_3bf5a46ed2a144f3a79f0c70a4151119"/>
            <w:bookmarkEnd w:id="1390"/>
            <w:bookmarkStart w:id="1391" w:name="3bf5a46ed2a144f3a79f0c70a4151119"/>
            <w:r>
              <w:rPr>
                <w:rFonts w:ascii="Arial" w:eastAsia="Arial" w:hAnsi="Arial" w:cs="Arial"/>
                <w:b w:val="0"/>
                <w:i w:val="0"/>
                <w:strike w:val="0"/>
                <w:color w:val="000000"/>
                <w:sz w:val="13"/>
                <w:u w:val="none"/>
                <w:vertAlign w:val="baseline"/>
              </w:rPr>
              <w:t>-286</w:t>
            </w:r>
            <w:bookmarkStart w:id="1392" w:name="XBRL_CE_3bf5a46ed2a144f3a79f0c70a4151119"/>
            <w:bookmarkEnd w:id="1391"/>
            <w:bookmarkEnd w:id="1392"/>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changes</w:t>
            </w:r>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93" w:name="XBRL_CS_badb219fcb974986949fc22bfab56196"/>
            <w:bookmarkEnd w:id="1393"/>
            <w:bookmarkStart w:id="1394" w:name="badb219fcb974986949fc22bfab56196"/>
            <w:r>
              <w:rPr>
                <w:rFonts w:ascii="Arial" w:eastAsia="Arial" w:hAnsi="Arial" w:cs="Arial"/>
                <w:b w:val="0"/>
                <w:i w:val="0"/>
                <w:strike w:val="0"/>
                <w:color w:val="000000"/>
                <w:sz w:val="13"/>
                <w:u w:val="none"/>
                <w:vertAlign w:val="baseline"/>
              </w:rPr>
              <w:t>7</w:t>
            </w:r>
            <w:bookmarkStart w:id="1395" w:name="XBRL_CE_badb219fcb974986949fc22bfab56196"/>
            <w:bookmarkEnd w:id="1394"/>
            <w:bookmarkEnd w:id="1395"/>
          </w:p>
        </w:tc>
        <w:tc>
          <w:tcPr>
            <w:tcW w:w="127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96" w:name="XBRL_CS_2c3863eda18e47bc92b87a5de7179ef9"/>
            <w:bookmarkEnd w:id="1396"/>
            <w:bookmarkStart w:id="1397" w:name="2c3863eda18e47bc92b87a5de7179ef9"/>
            <w:r>
              <w:rPr>
                <w:rFonts w:ascii="Arial" w:eastAsia="Arial" w:hAnsi="Arial" w:cs="Arial"/>
                <w:b w:val="0"/>
                <w:i w:val="0"/>
                <w:strike w:val="0"/>
                <w:color w:val="000000"/>
                <w:sz w:val="13"/>
                <w:u w:val="none"/>
                <w:vertAlign w:val="baseline"/>
              </w:rPr>
              <w:t>7</w:t>
            </w:r>
            <w:bookmarkStart w:id="1398" w:name="XBRL_CE_2c3863eda18e47bc92b87a5de7179ef9"/>
            <w:bookmarkEnd w:id="1397"/>
            <w:bookmarkEnd w:id="1398"/>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99" w:name="XBRL_CS_6fda15b285aa4bddbc8003787b82b128"/>
            <w:bookmarkEnd w:id="1399"/>
            <w:bookmarkStart w:id="1400" w:name="6fda15b285aa4bddbc8003787b82b128"/>
            <w:bookmarkStart w:id="1401" w:name="XBRL_CE_6fda15b285aa4bddbc8003787b82b128"/>
            <w:bookmarkEnd w:id="1400"/>
            <w:bookmarkEnd w:id="1401"/>
          </w:p>
        </w:tc>
        <w:tc>
          <w:tcPr>
            <w:tcW w:w="127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402" w:name="XBRL_CS_628a49938f4444fd9ae3d5831bdfead7"/>
            <w:bookmarkEnd w:id="1402"/>
            <w:bookmarkStart w:id="1403" w:name="628a49938f4444fd9ae3d5831bdfead7"/>
            <w:r>
              <w:rPr>
                <w:rFonts w:ascii="Arial" w:eastAsia="Arial" w:hAnsi="Arial" w:cs="Arial"/>
                <w:b w:val="0"/>
                <w:i w:val="0"/>
                <w:strike w:val="0"/>
                <w:color w:val="000000"/>
                <w:sz w:val="13"/>
                <w:u w:val="none"/>
                <w:vertAlign w:val="baseline"/>
              </w:rPr>
              <w:t>7</w:t>
            </w:r>
            <w:bookmarkStart w:id="1404" w:name="XBRL_CE_628a49938f4444fd9ae3d5831bdfead7"/>
            <w:bookmarkEnd w:id="1403"/>
            <w:bookmarkEnd w:id="1404"/>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8" w:space="0" w:color="0F172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Equity on 31 December 2020</w:t>
            </w:r>
          </w:p>
        </w:tc>
        <w:tc>
          <w:tcPr>
            <w:tcW w:w="127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405" w:name="XBRL_CS_571247b225c14c31a108007540963129"/>
            <w:bookmarkEnd w:id="1405"/>
            <w:bookmarkStart w:id="1406" w:name="571247b225c14c31a108007540963129"/>
            <w:r>
              <w:rPr>
                <w:rFonts w:ascii="Arial" w:eastAsia="Arial" w:hAnsi="Arial" w:cs="Arial"/>
                <w:b w:val="0"/>
                <w:i w:val="0"/>
                <w:strike w:val="0"/>
                <w:color w:val="000000"/>
                <w:sz w:val="13"/>
                <w:u w:val="none"/>
                <w:vertAlign w:val="baseline"/>
              </w:rPr>
              <w:t>336</w:t>
            </w:r>
            <w:bookmarkStart w:id="1407" w:name="XBRL_CE_571247b225c14c31a108007540963129"/>
            <w:bookmarkEnd w:id="1406"/>
            <w:bookmarkEnd w:id="1407"/>
          </w:p>
        </w:tc>
        <w:tc>
          <w:tcPr>
            <w:tcW w:w="127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408" w:name="XBRL_CS_76b119bc091449e0b36ecb53d5796529"/>
            <w:bookmarkEnd w:id="1408"/>
            <w:bookmarkStart w:id="1409" w:name="76b119bc091449e0b36ecb53d5796529"/>
            <w:r>
              <w:rPr>
                <w:rFonts w:ascii="Arial" w:eastAsia="Arial" w:hAnsi="Arial" w:cs="Arial"/>
                <w:b w:val="0"/>
                <w:i w:val="0"/>
                <w:strike w:val="0"/>
                <w:color w:val="000000"/>
                <w:sz w:val="13"/>
                <w:u w:val="none"/>
                <w:vertAlign w:val="baseline"/>
              </w:rPr>
              <w:t>61</w:t>
            </w:r>
            <w:bookmarkStart w:id="1410" w:name="XBRL_CE_76b119bc091449e0b36ecb53d5796529"/>
            <w:bookmarkEnd w:id="1409"/>
            <w:bookmarkEnd w:id="1410"/>
          </w:p>
        </w:tc>
        <w:tc>
          <w:tcPr>
            <w:tcW w:w="127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411" w:name="XBRL_CS_f61f9eefe95d46a6a0ec56b13cadcf92"/>
            <w:bookmarkEnd w:id="1411"/>
            <w:bookmarkStart w:id="1412" w:name="f61f9eefe95d46a6a0ec56b13cadcf92"/>
            <w:r>
              <w:rPr>
                <w:rFonts w:ascii="Arial" w:eastAsia="Arial" w:hAnsi="Arial" w:cs="Arial"/>
                <w:b w:val="0"/>
                <w:i w:val="0"/>
                <w:strike w:val="0"/>
                <w:color w:val="000000"/>
                <w:sz w:val="13"/>
                <w:u w:val="none"/>
                <w:vertAlign w:val="baseline"/>
              </w:rPr>
              <w:t>-197</w:t>
            </w:r>
            <w:bookmarkStart w:id="1413" w:name="XBRL_CE_f61f9eefe95d46a6a0ec56b13cadcf92"/>
            <w:bookmarkEnd w:id="1412"/>
            <w:bookmarkEnd w:id="1413"/>
          </w:p>
        </w:tc>
        <w:tc>
          <w:tcPr>
            <w:tcW w:w="127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414" w:name="XBRL_CS_bd68451ee4554694ab06b2bbcbf321bc"/>
            <w:bookmarkEnd w:id="1414"/>
            <w:bookmarkStart w:id="1415" w:name="bd68451ee4554694ab06b2bbcbf321bc"/>
            <w:r>
              <w:rPr>
                <w:rFonts w:ascii="Arial" w:eastAsia="Arial" w:hAnsi="Arial" w:cs="Arial"/>
                <w:b w:val="0"/>
                <w:i w:val="0"/>
                <w:strike w:val="0"/>
                <w:color w:val="000000"/>
                <w:sz w:val="13"/>
                <w:u w:val="none"/>
                <w:vertAlign w:val="baseline"/>
              </w:rPr>
              <w:t>-9</w:t>
            </w:r>
            <w:bookmarkStart w:id="1416" w:name="XBRL_CE_bd68451ee4554694ab06b2bbcbf321bc"/>
            <w:bookmarkEnd w:id="1415"/>
            <w:bookmarkEnd w:id="1416"/>
          </w:p>
        </w:tc>
        <w:tc>
          <w:tcPr>
            <w:tcW w:w="127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417" w:name="XBRL_CS_3e2b6655959342a6a5960fee65e69899"/>
            <w:bookmarkEnd w:id="1417"/>
            <w:bookmarkStart w:id="1418" w:name="3e2b6655959342a6a5960fee65e69899"/>
            <w:r>
              <w:rPr>
                <w:rFonts w:ascii="Arial" w:eastAsia="Arial" w:hAnsi="Arial" w:cs="Arial"/>
                <w:b w:val="0"/>
                <w:i w:val="0"/>
                <w:strike w:val="0"/>
                <w:color w:val="000000"/>
                <w:sz w:val="13"/>
                <w:u w:val="none"/>
                <w:vertAlign w:val="baseline"/>
              </w:rPr>
              <w:t>-45</w:t>
            </w:r>
            <w:bookmarkStart w:id="1419" w:name="XBRL_CE_3e2b6655959342a6a5960fee65e69899"/>
            <w:bookmarkEnd w:id="1418"/>
            <w:bookmarkEnd w:id="1419"/>
          </w:p>
        </w:tc>
        <w:tc>
          <w:tcPr>
            <w:tcW w:w="127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420" w:name="XBRL_CS_b069ca08f3da4bbbbaaa7b29b70e9edb"/>
            <w:bookmarkEnd w:id="1420"/>
            <w:bookmarkStart w:id="1421" w:name="b069ca08f3da4bbbbaaa7b29b70e9edb"/>
            <w:r>
              <w:rPr>
                <w:rFonts w:ascii="Arial" w:eastAsia="Arial" w:hAnsi="Arial" w:cs="Arial"/>
                <w:b w:val="0"/>
                <w:i w:val="0"/>
                <w:strike w:val="0"/>
                <w:color w:val="000000"/>
                <w:sz w:val="13"/>
                <w:u w:val="none"/>
                <w:vertAlign w:val="baseline"/>
              </w:rPr>
              <w:t>2,030</w:t>
            </w:r>
            <w:bookmarkStart w:id="1422" w:name="XBRL_CE_b069ca08f3da4bbbbaaa7b29b70e9edb"/>
            <w:bookmarkEnd w:id="1421"/>
            <w:bookmarkEnd w:id="1422"/>
          </w:p>
        </w:tc>
        <w:tc>
          <w:tcPr>
            <w:tcW w:w="127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423" w:name="XBRL_CS_fdef8f0f52604b12bc8c7346257017af"/>
            <w:bookmarkEnd w:id="1423"/>
            <w:bookmarkStart w:id="1424" w:name="fdef8f0f52604b12bc8c7346257017af"/>
            <w:r>
              <w:rPr>
                <w:rFonts w:ascii="Arial" w:eastAsia="Arial" w:hAnsi="Arial" w:cs="Arial"/>
                <w:b w:val="0"/>
                <w:i w:val="0"/>
                <w:strike w:val="0"/>
                <w:color w:val="000000"/>
                <w:sz w:val="13"/>
                <w:u w:val="none"/>
                <w:vertAlign w:val="baseline"/>
              </w:rPr>
              <w:t>2,177</w:t>
            </w:r>
            <w:bookmarkStart w:id="1425" w:name="XBRL_CE_fdef8f0f52604b12bc8c7346257017af"/>
            <w:bookmarkEnd w:id="1424"/>
            <w:bookmarkEnd w:id="1425"/>
          </w:p>
        </w:tc>
        <w:tc>
          <w:tcPr>
            <w:tcW w:w="127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426" w:name="XBRL_CS_7a3566f2cb3f4cd3bce86aa7072859d8"/>
            <w:bookmarkEnd w:id="1426"/>
            <w:bookmarkStart w:id="1427" w:name="7a3566f2cb3f4cd3bce86aa7072859d8"/>
            <w:r>
              <w:rPr>
                <w:rFonts w:ascii="Arial" w:eastAsia="Arial" w:hAnsi="Arial" w:cs="Arial"/>
                <w:b w:val="0"/>
                <w:i w:val="0"/>
                <w:strike w:val="0"/>
                <w:color w:val="000000"/>
                <w:sz w:val="13"/>
                <w:u w:val="none"/>
                <w:vertAlign w:val="baseline"/>
              </w:rPr>
              <w:t>11</w:t>
            </w:r>
            <w:bookmarkStart w:id="1428" w:name="XBRL_CE_7a3566f2cb3f4cd3bce86aa7072859d8"/>
            <w:bookmarkEnd w:id="1427"/>
            <w:bookmarkEnd w:id="1428"/>
          </w:p>
        </w:tc>
        <w:tc>
          <w:tcPr>
            <w:tcW w:w="127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429" w:name="XBRL_CS_aa3d1cf54af44c9886660388a149f6b0"/>
            <w:bookmarkEnd w:id="1429"/>
            <w:bookmarkStart w:id="1430" w:name="aa3d1cf54af44c9886660388a149f6b0"/>
            <w:r>
              <w:rPr>
                <w:rFonts w:ascii="Arial" w:eastAsia="Arial" w:hAnsi="Arial" w:cs="Arial"/>
                <w:b w:val="0"/>
                <w:i w:val="0"/>
                <w:strike w:val="0"/>
                <w:color w:val="000000"/>
                <w:sz w:val="13"/>
                <w:u w:val="none"/>
                <w:vertAlign w:val="baseline"/>
              </w:rPr>
              <w:t>2,188</w:t>
            </w:r>
            <w:bookmarkStart w:id="1431" w:name="XBRL_CE_aa3d1cf54af44c9886660388a149f6b0"/>
            <w:bookmarkEnd w:id="1430"/>
            <w:bookmarkEnd w:id="1431"/>
          </w:p>
        </w:tc>
      </w:tr>
    </w:tbl>
    <w:p w:rsidR="008746FF" w:rsidP="00F472E2" w14:paraId="1944A925" w14:textId="77777777">
      <w:pPr>
        <w:pStyle w:val="Bodytext2"/>
      </w:pPr>
      <w:bookmarkStart w:id="1432" w:name="RG_MARKER_7386"/>
      <w:bookmarkEnd w:id="1432"/>
    </w:p>
    <w:p w:rsidR="00F472E2" w:rsidRPr="00F472E2" w:rsidP="00F472E2" w14:paraId="11040E5E" w14:textId="569124FC">
      <w:pPr>
        <w:pStyle w:val="Bodytext2"/>
      </w:pPr>
      <w:r w:rsidRPr="00F472E2">
        <w:t>Additional information on share capital, share premium, translation difference and fair value reserve is presented in Note 5.5. Equity.</w:t>
      </w:r>
    </w:p>
    <w:p w:rsidR="00F472E2" w:rsidRPr="00F472E2" w:rsidP="00F472E2" w14:paraId="63A7EBC3" w14:textId="77777777">
      <w:pPr>
        <w:pStyle w:val="Bodytext2"/>
      </w:pPr>
    </w:p>
    <w:p w:rsidR="00F472E2" w:rsidRPr="00C84DD0" w:rsidP="00C84DD0" w14:paraId="45AB43C9" w14:textId="51B55B6B">
      <w:pPr>
        <w:pStyle w:val="Bodytext2"/>
        <w:sectPr w:rsidSect="00C40048">
          <w:headerReference w:type="even" r:id="rId46"/>
          <w:headerReference w:type="default" r:id="rId47"/>
          <w:footerReference w:type="even" r:id="rId48"/>
          <w:footerReference w:type="default" r:id="rId49"/>
          <w:headerReference w:type="first" r:id="rId50"/>
          <w:footerReference w:type="first" r:id="rId51"/>
          <w:type w:val="continuous"/>
          <w:pgSz w:w="16838" w:h="11906" w:orient="landscape"/>
          <w:pgMar w:top="1814" w:right="737" w:bottom="1247" w:left="737" w:header="720" w:footer="720" w:gutter="0"/>
          <w:pgBorders w:zOrder="front" w:display="allPages" w:offsetFrom="text">
            <w:top w:val="nil"/>
            <w:left w:val="nil"/>
            <w:bottom w:val="nil"/>
            <w:right w:val="nil"/>
          </w:pgBorders>
          <w:cols w:space="624"/>
          <w:vAlign w:val="top"/>
          <w:titlePg w:val="0"/>
          <w:rtlGutter w:val="0"/>
          <w:docGrid w:linePitch="360"/>
        </w:sectPr>
      </w:pPr>
      <w:r w:rsidRPr="00F472E2">
        <w:t>The notes are an integral part of these consolidated financial statements</w:t>
      </w:r>
      <w:r>
        <w:t>.</w:t>
      </w:r>
      <w:r>
        <w:br w:type="column"/>
      </w:r>
    </w:p>
    <w:p w:rsidR="00F472E2" w:rsidRPr="001E35C0" w:rsidP="00F472E2" w14:paraId="56545A92" w14:textId="77777777">
      <w:pPr>
        <w:spacing w:before="48" w:after="0"/>
        <w:rPr>
          <w:sz w:val="2"/>
          <w:szCs w:val="2"/>
          <w:lang w:val="en-US"/>
        </w:rPr>
      </w:pPr>
      <w:r>
        <w:t xml:space="preserve"> </w:t>
      </w:r>
    </w:p>
    <w:p w:rsidR="00FC0A21" w:rsidP="00984CDF" w14:paraId="36D76754" w14:textId="77777777">
      <w:pPr>
        <w:pStyle w:val="Heading11"/>
      </w:pPr>
      <w:bookmarkStart w:id="1433" w:name="RG_MARKER_7300"/>
      <w:bookmarkStart w:id="1434" w:name="RG_MARKER_7347"/>
      <w:r>
        <w:rPr>
          <w:noProof/>
        </w:rPr>
        <w:drawing>
          <wp:anchor distT="0" distB="0" distL="114300" distR="114300" simplePos="0" relativeHeight="251668480" behindDoc="1" locked="0" layoutInCell="1" allowOverlap="1">
            <wp:simplePos x="0" y="0"/>
            <wp:positionH relativeFrom="page">
              <wp:posOffset>0</wp:posOffset>
            </wp:positionH>
            <wp:positionV relativeFrom="page">
              <wp:posOffset>1155940</wp:posOffset>
            </wp:positionV>
            <wp:extent cx="5115600" cy="5580000"/>
            <wp:effectExtent l="0" t="0" r="8890" b="1905"/>
            <wp:wrapNone/>
            <wp:docPr id="20591115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324620" name="Picture 1"/>
                    <pic:cNvPicPr/>
                  </pic:nvPicPr>
                  <pic:blipFill>
                    <a:blip xmlns:r="http://schemas.openxmlformats.org/officeDocument/2006/relationships" r:embed="rId52">
                      <a:extLst>
                        <a:ext xmlns:a="http://schemas.openxmlformats.org/drawingml/2006/main" uri="{28A0092B-C50C-407E-A947-70E740481C1C}">
                          <a14:useLocalDpi xmlns:a14="http://schemas.microsoft.com/office/drawing/2010/main" val="0"/>
                        </a:ext>
                      </a:extLst>
                    </a:blip>
                    <a:srcRect l="-106" r="100"/>
                    <a:stretch>
                      <a:fillRect/>
                    </a:stretch>
                  </pic:blipFill>
                  <pic:spPr bwMode="auto">
                    <a:xfrm>
                      <a:off x="0" y="0"/>
                      <a:ext cx="5115600" cy="5580000"/>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434"/>
      <w:bookmarkEnd w:id="1433"/>
    </w:p>
    <w:p w:rsidR="00FC0A21" w:rsidP="00984CDF" w14:paraId="00A3D464" w14:textId="77777777">
      <w:pPr>
        <w:pStyle w:val="Heading11"/>
      </w:pPr>
    </w:p>
    <w:p w:rsidR="00FC0A21" w:rsidP="00984CDF" w14:paraId="2817AFC2" w14:textId="77777777">
      <w:pPr>
        <w:pStyle w:val="Heading11"/>
      </w:pPr>
    </w:p>
    <w:p w:rsidR="00FC0A21" w:rsidP="00984CDF" w14:paraId="2FBE7E7E" w14:textId="77777777">
      <w:pPr>
        <w:pStyle w:val="Heading11"/>
      </w:pPr>
    </w:p>
    <w:p w:rsidR="00FC0A21" w:rsidP="00984CDF" w14:paraId="3A078506" w14:textId="77777777">
      <w:pPr>
        <w:pStyle w:val="Heading11"/>
      </w:pPr>
    </w:p>
    <w:p w:rsidR="00FC0A21" w:rsidP="00984CDF" w14:paraId="4D86FFD2" w14:textId="77777777">
      <w:pPr>
        <w:pStyle w:val="Heading11"/>
      </w:pPr>
    </w:p>
    <w:p w:rsidR="00FC0A21" w:rsidP="00984CDF" w14:paraId="4F110C21" w14:textId="77777777">
      <w:pPr>
        <w:pStyle w:val="Heading11"/>
      </w:pPr>
    </w:p>
    <w:p w:rsidR="00FC0A21" w:rsidP="00984CDF" w14:paraId="5C0B3CF5" w14:textId="77777777">
      <w:pPr>
        <w:pStyle w:val="Heading11"/>
      </w:pPr>
    </w:p>
    <w:p w:rsidR="00FC0A21" w:rsidP="00984CDF" w14:paraId="362E5D38" w14:textId="77777777">
      <w:pPr>
        <w:pStyle w:val="Heading11"/>
      </w:pPr>
    </w:p>
    <w:p w:rsidR="00FC0A21" w:rsidP="00984CDF" w14:paraId="2BBAFB7F" w14:textId="77777777">
      <w:pPr>
        <w:pStyle w:val="Heading11"/>
      </w:pPr>
    </w:p>
    <w:p w:rsidR="00FC0A21" w:rsidP="00984CDF" w14:paraId="3F4EFBEC" w14:textId="77777777">
      <w:pPr>
        <w:pStyle w:val="Heading11"/>
      </w:pPr>
    </w:p>
    <w:p w:rsidR="00FC0A21" w:rsidP="00984CDF" w14:paraId="54235CD5" w14:textId="77777777">
      <w:pPr>
        <w:pStyle w:val="Heading11"/>
      </w:pPr>
    </w:p>
    <w:p w:rsidR="00FC0A21" w:rsidP="00984CDF" w14:paraId="6BAD37E2" w14:textId="77777777">
      <w:pPr>
        <w:pStyle w:val="Heading11"/>
      </w:pPr>
    </w:p>
    <w:p w:rsidR="00FC0A21" w:rsidP="00984CDF" w14:paraId="6F45D781" w14:textId="77777777">
      <w:pPr>
        <w:pStyle w:val="Heading11"/>
      </w:pPr>
    </w:p>
    <w:p w:rsidR="00FC0A21" w:rsidP="00984CDF" w14:paraId="65695A2F" w14:textId="77777777">
      <w:pPr>
        <w:pStyle w:val="Heading11"/>
      </w:pPr>
    </w:p>
    <w:p w:rsidR="00FC0A21" w:rsidP="00984CDF" w14:paraId="15B5B3B0" w14:textId="77777777">
      <w:pPr>
        <w:pStyle w:val="Heading11"/>
      </w:pPr>
    </w:p>
    <w:p w:rsidR="00FC0A21" w:rsidP="00984CDF" w14:paraId="76BB2F04" w14:textId="77777777">
      <w:pPr>
        <w:pStyle w:val="Heading11"/>
      </w:pPr>
    </w:p>
    <w:p w:rsidR="00984CDF" w:rsidP="009F097A" w14:paraId="0607A29E" w14:textId="77777777">
      <w:pPr>
        <w:pStyle w:val="Heading105"/>
      </w:pPr>
      <w:r>
        <w:t>NOTES TO THE CONSOLIDATED FINANCIAL STATEMENTS</w:t>
      </w:r>
    </w:p>
    <w:p w:rsidR="00A40A13" w:rsidRPr="0056748F" w:rsidP="00A40A13" w14:paraId="6DF64C1B" w14:textId="77777777">
      <w:pPr>
        <w:pStyle w:val="Heading11"/>
      </w:pPr>
      <w:r w:rsidRPr="0056748F">
        <w:t>1. ACCOUNTING PRINCIPLES AND OTHER DISCLOSURE REQUIREMENTS</w:t>
      </w:r>
    </w:p>
    <w:p w:rsidR="00AD1547" w:rsidP="00AD1547" w14:paraId="1CD2974E" w14:textId="77777777">
      <w:pPr>
        <w:pStyle w:val="Heading12"/>
        <w:rPr>
          <w:b w:val="0"/>
        </w:rPr>
      </w:pPr>
      <w:r>
        <w:rPr>
          <w:noProof/>
        </w:rPr>
        <mc:AlternateContent>
          <mc:Choice Requires="wps">
            <w:drawing>
              <wp:anchor distT="0" distB="0" distL="114300" distR="114300" simplePos="0" relativeHeight="251693056" behindDoc="0" locked="0" layoutInCell="1" allowOverlap="1">
                <wp:simplePos x="0" y="0"/>
                <wp:positionH relativeFrom="column">
                  <wp:posOffset>0</wp:posOffset>
                </wp:positionH>
                <wp:positionV relativeFrom="paragraph">
                  <wp:posOffset>53975</wp:posOffset>
                </wp:positionV>
                <wp:extent cx="4679950" cy="0"/>
                <wp:effectExtent l="19050" t="19050" r="25400" b="19050"/>
                <wp:wrapNone/>
                <wp:docPr id="346534068" name="Straight Connector 3"/>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3" o:spid="_x0000_s1033" style="mso-height-percent:0;mso-height-relative:page;mso-width-percent:0;mso-width-relative:margin;mso-wrap-distance-bottom:0;mso-wrap-distance-left:9pt;mso-wrap-distance-right:9pt;mso-wrap-distance-top:0;position:absolute;v-text-anchor:top;z-index:251692032" from="0,4.25pt" to="368.5pt,4.25pt" fillcolor="this" stroked="t" strokecolor="#99b7c4" strokeweight="2.25pt">
                <v:stroke endcap="round"/>
              </v:line>
            </w:pict>
          </mc:Fallback>
        </mc:AlternateContent>
      </w:r>
    </w:p>
    <w:p w:rsidR="00AD1547" w:rsidP="00AD1547" w14:paraId="5603499A" w14:textId="77777777">
      <w:pPr>
        <w:pStyle w:val="Heading12"/>
        <w:rPr>
          <w:b w:val="0"/>
          <w:bCs/>
          <w:color w:val="99B7C4"/>
        </w:rPr>
      </w:pPr>
      <w:r>
        <w:rPr>
          <w:b w:val="0"/>
          <w:bCs/>
          <w:color w:val="99B7C4"/>
        </w:rPr>
        <w:t>Content in this section:</w:t>
      </w:r>
    </w:p>
    <w:p w:rsidR="00AD1547" w:rsidP="00AD1547" w14:paraId="572B709C" w14:textId="77777777">
      <w:pPr>
        <w:pStyle w:val="Heading12"/>
        <w:ind w:left="284"/>
        <w:rPr>
          <w:color w:val="99B7C4"/>
          <w:sz w:val="12"/>
          <w:szCs w:val="12"/>
        </w:rPr>
      </w:pPr>
    </w:p>
    <w:p w:rsidR="00AD1547" w:rsidP="00AD1547" w14:paraId="388BFE71" w14:textId="77777777">
      <w:pPr>
        <w:pStyle w:val="Heading12"/>
        <w:ind w:left="284"/>
        <w:rPr>
          <w:color w:val="99B7C4"/>
        </w:rPr>
      </w:pPr>
      <w:r>
        <w:rPr>
          <w:color w:val="99B7C4"/>
        </w:rPr>
        <w:t>1.1. ENTITY INFORMATION</w:t>
      </w:r>
    </w:p>
    <w:p w:rsidR="00AD1547" w:rsidP="00AD1547" w14:paraId="6DAD12DC" w14:textId="77777777">
      <w:pPr>
        <w:pStyle w:val="Heading12"/>
        <w:ind w:left="284"/>
        <w:rPr>
          <w:color w:val="99B7C4"/>
        </w:rPr>
      </w:pPr>
      <w:r>
        <w:rPr>
          <w:color w:val="99B7C4"/>
        </w:rPr>
        <w:t>1.2. BASIS OF PREPARATION</w:t>
      </w:r>
    </w:p>
    <w:p w:rsidR="00AD1547" w:rsidP="00AD1547" w14:paraId="23B96BA6" w14:textId="77777777">
      <w:pPr>
        <w:pStyle w:val="Heading12"/>
        <w:ind w:left="284"/>
        <w:rPr>
          <w:color w:val="99B7C4"/>
        </w:rPr>
      </w:pPr>
      <w:r>
        <w:rPr>
          <w:color w:val="99B7C4"/>
        </w:rPr>
        <w:t>1.3. NEW AND AMENDED IFRS STANDARDS</w:t>
      </w:r>
    </w:p>
    <w:p w:rsidR="00AD1547" w:rsidP="00AD1547" w14:paraId="1B637E2C" w14:textId="77777777">
      <w:pPr>
        <w:pStyle w:val="Heading12"/>
        <w:ind w:left="284"/>
        <w:rPr>
          <w:color w:val="99B7C4"/>
        </w:rPr>
      </w:pPr>
      <w:r>
        <w:rPr>
          <w:color w:val="99B7C4"/>
        </w:rPr>
        <w:t xml:space="preserve">1.4. </w:t>
      </w:r>
      <w:r>
        <w:rPr>
          <w:color w:val="99B7C4"/>
        </w:rPr>
        <w:t>MANAGEMENT JUDGEMENT AND USE OF ESTIMATES</w:t>
      </w:r>
    </w:p>
    <w:p w:rsidR="00AD1547" w:rsidP="00AD1547" w14:paraId="52EC20AB" w14:textId="77777777">
      <w:pPr>
        <w:pStyle w:val="Heading12"/>
        <w:ind w:left="284"/>
        <w:rPr>
          <w:color w:val="99B7C4"/>
        </w:rPr>
      </w:pPr>
      <w:r>
        <w:rPr>
          <w:color w:val="99B7C4"/>
        </w:rPr>
        <w:t>1.5. CHANGES IN ACCOUNTING PRINCIPLES</w:t>
      </w:r>
    </w:p>
    <w:p w:rsidR="00AD1547" w:rsidP="00AD1547" w14:paraId="47AE3349" w14:textId="77777777">
      <w:pPr>
        <w:pStyle w:val="Bodytext2"/>
      </w:pPr>
      <w:r>
        <w:rPr>
          <w:noProof/>
        </w:rPr>
        <mc:AlternateContent>
          <mc:Choice Requires="wps">
            <w:drawing>
              <wp:anchor distT="0" distB="0" distL="114300" distR="114300" simplePos="0" relativeHeight="251678720" behindDoc="0" locked="0" layoutInCell="1" allowOverlap="1">
                <wp:simplePos x="0" y="0"/>
                <wp:positionH relativeFrom="column">
                  <wp:posOffset>0</wp:posOffset>
                </wp:positionH>
                <wp:positionV relativeFrom="paragraph">
                  <wp:posOffset>71755</wp:posOffset>
                </wp:positionV>
                <wp:extent cx="4679950" cy="0"/>
                <wp:effectExtent l="19050" t="19050" r="25400" b="19050"/>
                <wp:wrapNone/>
                <wp:docPr id="1160853344" name="Straight Connector 2"/>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2" o:spid="_x0000_s1034" style="mso-height-percent:0;mso-height-relative:page;mso-width-percent:0;mso-width-relative:margin;mso-wrap-distance-bottom:0;mso-wrap-distance-left:9pt;mso-wrap-distance-right:9pt;mso-wrap-distance-top:0;position:absolute;v-text-anchor:top;z-index:251677696" from="0,5.65pt" to="368.5pt,5.65pt" fillcolor="this" stroked="t" strokecolor="#99b7c4" strokeweight="2.25pt">
                <v:stroke endcap="round"/>
              </v:line>
            </w:pict>
          </mc:Fallback>
        </mc:AlternateContent>
      </w:r>
    </w:p>
    <w:p w:rsidR="00AD1547" w:rsidRPr="00AD1547" w:rsidP="00A40A13" w14:paraId="00F25855" w14:textId="77777777">
      <w:pPr>
        <w:pStyle w:val="Bodytext2"/>
      </w:pPr>
    </w:p>
    <w:p w:rsidR="00984CDF" w:rsidRPr="00A40A13" w:rsidP="00A40A13" w14:paraId="6C335C10" w14:textId="77777777">
      <w:pPr>
        <w:pStyle w:val="Bodytext2"/>
      </w:pPr>
    </w:p>
    <w:p w:rsidR="00984CDF" w:rsidP="00984CDF" w14:paraId="095FD1F2" w14:textId="77777777">
      <w:pPr>
        <w:pStyle w:val="Bodytext2"/>
        <w:rPr>
          <w:szCs w:val="15"/>
        </w:rPr>
      </w:pPr>
      <w:r w:rsidRPr="0056748F">
        <w:rPr>
          <w:szCs w:val="15"/>
        </w:rPr>
        <w:t>Majority of the a</w:t>
      </w:r>
      <w:r w:rsidRPr="0056748F" w:rsidR="009C6E08">
        <w:rPr>
          <w:szCs w:val="15"/>
        </w:rPr>
        <w:t>ccounting principles</w:t>
      </w:r>
      <w:r w:rsidRPr="0056748F" w:rsidR="00BB27A0">
        <w:rPr>
          <w:szCs w:val="15"/>
        </w:rPr>
        <w:t xml:space="preserve"> applied to the consolidated financial statements</w:t>
      </w:r>
      <w:r w:rsidRPr="0056748F" w:rsidR="00C72AD5">
        <w:rPr>
          <w:szCs w:val="15"/>
        </w:rPr>
        <w:t>, as well as the most significant judgements, estimates, and assumptions made by the management, are presented in the relevant Notes</w:t>
      </w:r>
      <w:r w:rsidRPr="0056748F" w:rsidR="00BB27A0">
        <w:rPr>
          <w:szCs w:val="15"/>
        </w:rPr>
        <w:t xml:space="preserve"> to provide readers a better understanding of the financial statements</w:t>
      </w:r>
      <w:r w:rsidRPr="0056748F" w:rsidR="00C72AD5">
        <w:rPr>
          <w:szCs w:val="15"/>
        </w:rPr>
        <w:t>.</w:t>
      </w:r>
    </w:p>
    <w:p w:rsidR="009C6E08" w:rsidP="00984CDF" w14:paraId="3C05E0CB" w14:textId="77777777">
      <w:pPr>
        <w:pStyle w:val="Bodytext2"/>
        <w:rPr>
          <w:szCs w:val="15"/>
        </w:rPr>
      </w:pPr>
    </w:p>
    <w:p w:rsidR="00984CDF" w:rsidP="00984CDF" w14:paraId="488DA835" w14:textId="77777777">
      <w:pPr>
        <w:pStyle w:val="Heading12"/>
      </w:pPr>
      <w:r>
        <w:t xml:space="preserve">1.1. </w:t>
      </w:r>
      <w:r w:rsidRPr="000533F9" w:rsidR="008873E8">
        <w:t>ENTITY</w:t>
      </w:r>
      <w:r>
        <w:t xml:space="preserve"> INFORMATION</w:t>
      </w:r>
    </w:p>
    <w:p w:rsidR="00984CDF" w:rsidP="00984CDF" w14:paraId="7D7AD8A2" w14:textId="77777777">
      <w:pPr>
        <w:pStyle w:val="Bodytext2"/>
        <w:rPr>
          <w:szCs w:val="15"/>
        </w:rPr>
      </w:pPr>
      <w:bookmarkStart w:id="1435" w:name="XBRL_CS_5762b269f7824461838854f9cec5315c"/>
      <w:r>
        <w:rPr>
          <w:szCs w:val="15"/>
        </w:rPr>
        <w:t>Wärtsilä Corporation</w:t>
      </w:r>
      <w:bookmarkStart w:id="1436" w:name="XBRL_CE_5762b269f7824461838854f9cec5315c"/>
      <w:bookmarkEnd w:id="1435"/>
      <w:bookmarkEnd w:id="1436"/>
      <w:r>
        <w:rPr>
          <w:szCs w:val="15"/>
        </w:rPr>
        <w:t xml:space="preserve"> is a Finnish </w:t>
      </w:r>
      <w:bookmarkStart w:id="1437" w:name="XBRL_CS_2d80dbdbee3c4dce8c61d891a897409d"/>
      <w:r>
        <w:rPr>
          <w:szCs w:val="15"/>
        </w:rPr>
        <w:t>listed company</w:t>
      </w:r>
      <w:bookmarkStart w:id="1438" w:name="XBRL_CE_2d80dbdbee3c4dce8c61d891a897409d"/>
      <w:bookmarkEnd w:id="1437"/>
      <w:bookmarkEnd w:id="1438"/>
      <w:r>
        <w:rPr>
          <w:szCs w:val="15"/>
        </w:rPr>
        <w:t xml:space="preserve"> organised under the laws of </w:t>
      </w:r>
      <w:bookmarkStart w:id="1439" w:name="XBRL_CS_cef58c2aa4124223870dc3aa3b9227c8"/>
      <w:r>
        <w:rPr>
          <w:szCs w:val="15"/>
        </w:rPr>
        <w:t>Finland</w:t>
      </w:r>
      <w:bookmarkStart w:id="1440" w:name="XBRL_CE_cef58c2aa4124223870dc3aa3b9227c8"/>
      <w:bookmarkEnd w:id="1439"/>
      <w:bookmarkEnd w:id="1440"/>
      <w:r>
        <w:rPr>
          <w:szCs w:val="15"/>
        </w:rPr>
        <w:t xml:space="preserve"> and domiciled in </w:t>
      </w:r>
      <w:bookmarkStart w:id="1441" w:name="XBRL_CS_9a1071ce70604ea7bb17763c3ba56b07"/>
      <w:r>
        <w:rPr>
          <w:szCs w:val="15"/>
        </w:rPr>
        <w:t>Helsin</w:t>
      </w:r>
      <w:r>
        <w:rPr>
          <w:szCs w:val="15"/>
        </w:rPr>
        <w:t>ki</w:t>
      </w:r>
      <w:bookmarkStart w:id="1442" w:name="XBRL_CE_9a1071ce70604ea7bb17763c3ba56b07"/>
      <w:bookmarkEnd w:id="1441"/>
      <w:bookmarkEnd w:id="1442"/>
      <w:r>
        <w:rPr>
          <w:szCs w:val="15"/>
        </w:rPr>
        <w:t xml:space="preserve">. The address of its registered office is </w:t>
      </w:r>
      <w:bookmarkStart w:id="1443" w:name="XBRL_CS_4f68017f2487461292fe04c3294a5c22"/>
      <w:r>
        <w:rPr>
          <w:szCs w:val="15"/>
        </w:rPr>
        <w:t>Hiililaiturinkuja 2, 00180 Helsinki</w:t>
      </w:r>
      <w:bookmarkStart w:id="1444" w:name="XBRL_CE_4f68017f2487461292fe04c3294a5c22"/>
      <w:bookmarkEnd w:id="1443"/>
      <w:bookmarkEnd w:id="1444"/>
      <w:r>
        <w:rPr>
          <w:szCs w:val="15"/>
        </w:rPr>
        <w:t xml:space="preserve">. </w:t>
      </w:r>
      <w:bookmarkStart w:id="1445" w:name="XBRL_CS_b718f30b69fd4166af8c8f0ecacbe6c4"/>
      <w:r>
        <w:rPr>
          <w:szCs w:val="15"/>
        </w:rPr>
        <w:t>Wärtsilä Corporation</w:t>
      </w:r>
      <w:bookmarkStart w:id="1446" w:name="XBRL_CE_b718f30b69fd4166af8c8f0ecacbe6c4"/>
      <w:bookmarkEnd w:id="1445"/>
      <w:bookmarkEnd w:id="1446"/>
      <w:r>
        <w:rPr>
          <w:szCs w:val="15"/>
        </w:rPr>
        <w:t xml:space="preserve"> is the ultimate parent company in the Wärtsilä Group.</w:t>
      </w:r>
    </w:p>
    <w:p w:rsidR="00984CDF" w:rsidP="00984CDF" w14:paraId="6CD5C7D1" w14:textId="77777777">
      <w:pPr>
        <w:pStyle w:val="Bodytext2"/>
        <w:rPr>
          <w:szCs w:val="15"/>
        </w:rPr>
      </w:pPr>
    </w:p>
    <w:p w:rsidR="00984CDF" w:rsidP="00984CDF" w14:paraId="605F9EA0" w14:textId="77777777">
      <w:pPr>
        <w:pStyle w:val="Bodytext2"/>
        <w:rPr>
          <w:szCs w:val="15"/>
        </w:rPr>
      </w:pPr>
      <w:bookmarkStart w:id="1447" w:name="XBRL_CS_d8522d7a0f284d159e6f6976bae25611"/>
      <w:r>
        <w:rPr>
          <w:szCs w:val="15"/>
        </w:rPr>
        <w:t xml:space="preserve">Wärtsilä is a global leader in smart technologies and complete lifecycle solutions for the </w:t>
      </w:r>
      <w:r>
        <w:rPr>
          <w:szCs w:val="15"/>
        </w:rPr>
        <w:t>marine and energy markets. By emphasising sustainable innovation, total efficiency and data analytics, Wärtsilä maximises the environmental and economic performance of the vessels and power plants of its customers.</w:t>
      </w:r>
      <w:bookmarkStart w:id="1448" w:name="XBRL_CE_d8522d7a0f284d159e6f6976bae25611"/>
      <w:bookmarkEnd w:id="1447"/>
      <w:bookmarkEnd w:id="1448"/>
    </w:p>
    <w:p w:rsidR="00984CDF" w:rsidP="00984CDF" w14:paraId="4F554A26" w14:textId="77777777">
      <w:pPr>
        <w:pStyle w:val="Bodytext2"/>
        <w:rPr>
          <w:szCs w:val="15"/>
        </w:rPr>
      </w:pPr>
    </w:p>
    <w:p w:rsidR="00984CDF" w:rsidP="00984CDF" w14:paraId="160A6E79" w14:textId="77777777">
      <w:pPr>
        <w:pStyle w:val="Bodytext2"/>
        <w:rPr>
          <w:szCs w:val="15"/>
        </w:rPr>
      </w:pPr>
      <w:r>
        <w:rPr>
          <w:szCs w:val="15"/>
        </w:rPr>
        <w:t>In 202</w:t>
      </w:r>
      <w:r w:rsidR="008873E8">
        <w:rPr>
          <w:szCs w:val="15"/>
        </w:rPr>
        <w:t>1</w:t>
      </w:r>
      <w:r>
        <w:rPr>
          <w:szCs w:val="15"/>
        </w:rPr>
        <w:t xml:space="preserve">, </w:t>
      </w:r>
      <w:bookmarkStart w:id="1449" w:name="XBRL_CS_26bbc56e7a184c65b8942bb441f8f8c5"/>
      <w:r w:rsidRPr="00BF1DEC">
        <w:rPr>
          <w:szCs w:val="15"/>
        </w:rPr>
        <w:t>Wärtsilä</w:t>
      </w:r>
      <w:bookmarkStart w:id="1450" w:name="XBRL_CE_26bbc56e7a184c65b8942bb441f8f8c5"/>
      <w:bookmarkEnd w:id="1449"/>
      <w:bookmarkEnd w:id="1450"/>
      <w:r>
        <w:rPr>
          <w:szCs w:val="15"/>
        </w:rPr>
        <w:t>’s net sales totalled E</w:t>
      </w:r>
      <w:r>
        <w:rPr>
          <w:szCs w:val="15"/>
        </w:rPr>
        <w:t>UR 4.8 billion with approximately 17,500 employees. The company has operations in over 200 locations in more than 70 countries around the world. Wärtsilä is listed on Nasdaq Helsinki.</w:t>
      </w:r>
    </w:p>
    <w:p w:rsidR="00984CDF" w:rsidP="00984CDF" w14:paraId="293CC331" w14:textId="77777777">
      <w:pPr>
        <w:pStyle w:val="Bodytext2"/>
        <w:rPr>
          <w:szCs w:val="15"/>
        </w:rPr>
      </w:pPr>
    </w:p>
    <w:p w:rsidR="00984CDF" w:rsidP="00984CDF" w14:paraId="1B190139" w14:textId="77777777">
      <w:pPr>
        <w:pStyle w:val="Bodytext2"/>
        <w:rPr>
          <w:szCs w:val="15"/>
        </w:rPr>
      </w:pPr>
      <w:r>
        <w:rPr>
          <w:szCs w:val="15"/>
        </w:rPr>
        <w:t>These consolidated fi</w:t>
      </w:r>
      <w:r w:rsidRPr="00A207BD">
        <w:rPr>
          <w:szCs w:val="15"/>
        </w:rPr>
        <w:t>na</w:t>
      </w:r>
      <w:r>
        <w:rPr>
          <w:szCs w:val="15"/>
        </w:rPr>
        <w:t xml:space="preserve">ncial statements were authorised for release by </w:t>
      </w:r>
      <w:r>
        <w:rPr>
          <w:szCs w:val="15"/>
        </w:rPr>
        <w:t xml:space="preserve">the Board of Directors of </w:t>
      </w:r>
      <w:bookmarkStart w:id="1451" w:name="XBRL_CS_19fba51ee34d4f26a28a4e9cdc08888e"/>
      <w:r>
        <w:rPr>
          <w:szCs w:val="15"/>
        </w:rPr>
        <w:t>Wärtsilä Corporation</w:t>
      </w:r>
      <w:bookmarkStart w:id="1452" w:name="XBRL_CE_19fba51ee34d4f26a28a4e9cdc08888e"/>
      <w:bookmarkEnd w:id="1451"/>
      <w:bookmarkEnd w:id="1452"/>
      <w:r>
        <w:rPr>
          <w:szCs w:val="15"/>
        </w:rPr>
        <w:t xml:space="preserve"> on </w:t>
      </w:r>
      <w:r w:rsidR="008873E8">
        <w:rPr>
          <w:szCs w:val="15"/>
        </w:rPr>
        <w:t>27</w:t>
      </w:r>
      <w:r>
        <w:rPr>
          <w:szCs w:val="15"/>
        </w:rPr>
        <w:t xml:space="preserve"> January 202</w:t>
      </w:r>
      <w:r w:rsidR="008873E8">
        <w:rPr>
          <w:szCs w:val="15"/>
        </w:rPr>
        <w:t>2</w:t>
      </w:r>
      <w:r>
        <w:rPr>
          <w:szCs w:val="15"/>
        </w:rPr>
        <w:t>, after which, in accordance with the Finnish Corporate Act, the shareholders have a right to approve or reject the financial statements in the Annual General Meeting. The Annual General Meet</w:t>
      </w:r>
      <w:r>
        <w:rPr>
          <w:szCs w:val="15"/>
        </w:rPr>
        <w:t>ing also has the possibility to decide upon changes to the financial statements.</w:t>
      </w:r>
    </w:p>
    <w:p w:rsidR="00984CDF" w:rsidP="00984CDF" w14:paraId="2950BA0E" w14:textId="77777777">
      <w:pPr>
        <w:pStyle w:val="Bodytext2"/>
        <w:rPr>
          <w:szCs w:val="15"/>
        </w:rPr>
      </w:pPr>
    </w:p>
    <w:p w:rsidR="00984CDF" w:rsidP="00984CDF" w14:paraId="18FE7677" w14:textId="77777777">
      <w:pPr>
        <w:pStyle w:val="Heading12"/>
      </w:pPr>
      <w:r>
        <w:t>1.2. BASIS OF PREPARATION</w:t>
      </w:r>
    </w:p>
    <w:p w:rsidR="00D04207" w:rsidP="00D04207" w14:paraId="751382BA" w14:textId="77777777">
      <w:pPr>
        <w:pStyle w:val="Bodytext2"/>
        <w:rPr>
          <w:szCs w:val="15"/>
        </w:rPr>
      </w:pPr>
      <w:r>
        <w:rPr>
          <w:szCs w:val="15"/>
        </w:rPr>
        <w:t xml:space="preserve">The consolidated financial statements are prepared in accordance with the International Financial Reporting </w:t>
      </w:r>
      <w:r w:rsidRPr="003B573A">
        <w:rPr>
          <w:szCs w:val="15"/>
        </w:rPr>
        <w:t>Standards (IFRS) by applying IAS and IFR</w:t>
      </w:r>
      <w:r w:rsidRPr="003B573A">
        <w:rPr>
          <w:szCs w:val="15"/>
        </w:rPr>
        <w:t>S standards and their SIC and IFRIC interpretations, which were in force on 31 December 202</w:t>
      </w:r>
      <w:r>
        <w:rPr>
          <w:szCs w:val="15"/>
        </w:rPr>
        <w:t>1</w:t>
      </w:r>
      <w:r w:rsidRPr="003B573A">
        <w:rPr>
          <w:szCs w:val="15"/>
        </w:rPr>
        <w:t>. International Financial Reporting Standards refer to the standards, and their interpretations, approved for application in the EU in accordance with the procedure</w:t>
      </w:r>
      <w:r w:rsidRPr="003B573A">
        <w:rPr>
          <w:szCs w:val="15"/>
        </w:rPr>
        <w:t>s stipulated in the EU’s regulation (EC) No. 1606/2002 and embodied in Finnish accounting legislation and the statutes enacted under it. The notes to the consolidated financial statements also comply with the Finnish accounting and corporate legislation.</w:t>
      </w:r>
    </w:p>
    <w:p w:rsidR="00D04207" w:rsidP="00D04207" w14:paraId="088B0F10" w14:textId="77777777">
      <w:pPr>
        <w:pStyle w:val="Bodytext2"/>
        <w:rPr>
          <w:szCs w:val="15"/>
        </w:rPr>
      </w:pPr>
    </w:p>
    <w:p w:rsidR="009D167B" w:rsidRPr="003B573A" w:rsidP="009D167B" w14:paraId="59CD8518" w14:textId="77777777">
      <w:pPr>
        <w:pStyle w:val="Bodytext2"/>
        <w:rPr>
          <w:lang w:val="en-GB"/>
        </w:rPr>
      </w:pPr>
      <w:r w:rsidRPr="003B573A">
        <w:rPr>
          <w:lang w:val="en-GB"/>
        </w:rPr>
        <w:t>All intragroup transactions, dividend distributions, receivables and liabilities, as well as unrealised margins, are eliminated in the consolidated financial statements. In the consolidated statements of income and comprehensive income, non-controlling int</w:t>
      </w:r>
      <w:r w:rsidRPr="003B573A">
        <w:rPr>
          <w:lang w:val="en-GB"/>
        </w:rPr>
        <w:t>erests have been separated from the profit and the total comprehensive income for the financial period. In the consolidated statement of financial position, non-controlling interests are shown as a separate item under equity.</w:t>
      </w:r>
    </w:p>
    <w:p w:rsidR="00984CDF" w:rsidRPr="003B573A" w:rsidP="00984CDF" w14:paraId="3C77D0F8" w14:textId="77777777">
      <w:pPr>
        <w:pStyle w:val="Bodytext2"/>
        <w:rPr>
          <w:szCs w:val="15"/>
        </w:rPr>
      </w:pPr>
    </w:p>
    <w:p w:rsidR="00984CDF" w:rsidRPr="00D04207" w:rsidP="00D04207" w14:paraId="5B989F78" w14:textId="77777777">
      <w:pPr>
        <w:pStyle w:val="Bodytext2"/>
      </w:pPr>
      <w:r w:rsidRPr="003B573A">
        <w:t>Reporting is based on the his</w:t>
      </w:r>
      <w:r w:rsidRPr="003B573A">
        <w:t>torical cost convention. Exceptions are the financial assets and liabilities at fair value through the statement of income, the assets and liabilities arising from pension plans, hedged items under fair value hedging, the cash- and share-settled share-base</w:t>
      </w:r>
      <w:r w:rsidRPr="003B573A">
        <w:t xml:space="preserve">d payment transactions which are measured at fair value, and assets held for sale which are measured at the lower of the carrying amount and the fair </w:t>
      </w:r>
      <w:r w:rsidRPr="00D04207">
        <w:t>value less costs to sell. The figures are in millions of euros except Note 7.2. Related party disclosures,</w:t>
      </w:r>
      <w:r w:rsidRPr="00D04207">
        <w:t xml:space="preserve"> which </w:t>
      </w:r>
      <w:r w:rsidRPr="00D04207" w:rsidR="009D167B">
        <w:t>is</w:t>
      </w:r>
      <w:r w:rsidRPr="00D04207">
        <w:t xml:space="preserve"> presented in thousands of euros.</w:t>
      </w:r>
    </w:p>
    <w:p w:rsidR="00984CDF" w:rsidRPr="00D04207" w:rsidP="00D04207" w14:paraId="092AB595" w14:textId="77777777">
      <w:pPr>
        <w:pStyle w:val="Bodytext2"/>
      </w:pPr>
    </w:p>
    <w:p w:rsidR="00984CDF" w:rsidRPr="003B573A" w:rsidP="00984CDF" w14:paraId="4684D9B0" w14:textId="77777777">
      <w:pPr>
        <w:pStyle w:val="Heading12"/>
      </w:pPr>
      <w:r w:rsidRPr="00D04207">
        <w:t>1.3. NEW AND AMENDED IFRS STANDARDS</w:t>
      </w:r>
    </w:p>
    <w:p w:rsidR="00984CDF" w:rsidRPr="003B573A" w:rsidP="00984CDF" w14:paraId="71A0167E" w14:textId="77777777">
      <w:pPr>
        <w:pStyle w:val="Bodytext2"/>
        <w:rPr>
          <w:szCs w:val="15"/>
        </w:rPr>
      </w:pPr>
      <w:r w:rsidRPr="003B573A">
        <w:rPr>
          <w:szCs w:val="15"/>
        </w:rPr>
        <w:t>In 202</w:t>
      </w:r>
      <w:r>
        <w:rPr>
          <w:szCs w:val="15"/>
        </w:rPr>
        <w:t>1</w:t>
      </w:r>
      <w:r w:rsidRPr="003B573A">
        <w:rPr>
          <w:szCs w:val="15"/>
        </w:rPr>
        <w:t>, the Group has adopted the following amended standards issued by the IASB.</w:t>
      </w:r>
    </w:p>
    <w:p w:rsidR="00984CDF" w:rsidRPr="003B573A" w:rsidP="00984CDF" w14:paraId="258BCCA5" w14:textId="77777777">
      <w:pPr>
        <w:pStyle w:val="Bodytext2"/>
        <w:rPr>
          <w:szCs w:val="15"/>
        </w:rPr>
      </w:pPr>
    </w:p>
    <w:p w:rsidR="005F1001" w:rsidP="005F1001" w14:paraId="7F36ACEE" w14:textId="77777777">
      <w:pPr>
        <w:pStyle w:val="Bodytext2"/>
        <w:rPr>
          <w:szCs w:val="15"/>
        </w:rPr>
      </w:pPr>
      <w:r w:rsidRPr="000533F9">
        <w:rPr>
          <w:szCs w:val="15"/>
        </w:rPr>
        <w:t>Covid-19-Related Rent Concessions beyond 30 June 2021 amends IF</w:t>
      </w:r>
      <w:r w:rsidRPr="000533F9">
        <w:rPr>
          <w:szCs w:val="15"/>
        </w:rPr>
        <w:t xml:space="preserve">RS 16 Leases (effective for financial periods beginning on or after 1 April 2021) by extending the validity of the practical expedient introduced already in 2020, which simplified how a lessee accounts for rent concessions that are a direct consequence of </w:t>
      </w:r>
      <w:r w:rsidRPr="000533F9">
        <w:rPr>
          <w:szCs w:val="15"/>
        </w:rPr>
        <w:t>the COVID-19 pandemic by one year. The amendment does not have a significant impact on the consolidated financial statements.</w:t>
      </w:r>
    </w:p>
    <w:p w:rsidR="002E128D" w:rsidRPr="003B63DC" w:rsidP="003B63DC" w14:paraId="6F95223D" w14:textId="77777777">
      <w:pPr>
        <w:pStyle w:val="Bodytext2"/>
      </w:pPr>
    </w:p>
    <w:p w:rsidR="002E128D" w:rsidRPr="003B63DC" w:rsidP="003B63DC" w14:paraId="474F810F" w14:textId="77777777">
      <w:pPr>
        <w:pStyle w:val="Bodytext2"/>
      </w:pPr>
      <w:r w:rsidRPr="000533F9">
        <w:t>The IBOR reform phase 2 amendments to IFRS 9 and IFRS 7</w:t>
      </w:r>
      <w:r w:rsidRPr="000533F9" w:rsidR="00880FEE">
        <w:t xml:space="preserve"> (effective for financial periods beginning on or after 1 January 2021)</w:t>
      </w:r>
      <w:r w:rsidRPr="000533F9">
        <w:t xml:space="preserve"> re</w:t>
      </w:r>
      <w:r w:rsidRPr="000533F9">
        <w:t>late to matters that might affect financial reporting when a</w:t>
      </w:r>
      <w:r w:rsidRPr="000533F9" w:rsidR="00880FEE">
        <w:t xml:space="preserve">n </w:t>
      </w:r>
      <w:r w:rsidRPr="000533F9">
        <w:t xml:space="preserve">existing interest rate benchmark is replaced. </w:t>
      </w:r>
      <w:r w:rsidRPr="000533F9" w:rsidR="00880FEE">
        <w:t>The amendments explain how to account for changes on the basis for determining contractual cash flows as a result of IBOR reform, provide additional temporary exceptions from applying specific hedge accounting requirements to avoid discontinuation of hedge relationships solely due to IBOR reform. The amendments also include additional IFRS 7 disclosures related to the reform.</w:t>
      </w:r>
      <w:r w:rsidRPr="000533F9" w:rsidR="009E7ED7">
        <w:t xml:space="preserve"> The amendments do not have</w:t>
      </w:r>
      <w:r w:rsidRPr="000533F9" w:rsidR="003B63DC">
        <w:t xml:space="preserve"> a</w:t>
      </w:r>
      <w:r w:rsidRPr="000533F9" w:rsidR="009E7ED7">
        <w:t xml:space="preserve"> significant impact on the consolidated financial statements.</w:t>
      </w:r>
      <w:r w:rsidRPr="003B63DC">
        <w:t xml:space="preserve"> </w:t>
      </w:r>
    </w:p>
    <w:p w:rsidR="002E128D" w:rsidRPr="003B63DC" w:rsidP="003B63DC" w14:paraId="501702E0" w14:textId="77777777">
      <w:pPr>
        <w:pStyle w:val="Bodytext2"/>
      </w:pPr>
    </w:p>
    <w:p w:rsidR="002E128D" w:rsidRPr="008873E8" w:rsidP="008873E8" w14:paraId="1DD630D5" w14:textId="77777777">
      <w:pPr>
        <w:pStyle w:val="Bodytext2"/>
      </w:pPr>
      <w:r w:rsidRPr="000533F9">
        <w:t>Other</w:t>
      </w:r>
      <w:r w:rsidRPr="000533F9" w:rsidR="003B63DC">
        <w:t xml:space="preserve"> new </w:t>
      </w:r>
      <w:r w:rsidRPr="000533F9">
        <w:t>or amended standards and interpretations</w:t>
      </w:r>
      <w:r w:rsidRPr="000533F9" w:rsidR="009C6E08">
        <w:t xml:space="preserve"> already effective</w:t>
      </w:r>
      <w:r w:rsidRPr="000533F9">
        <w:t xml:space="preserve"> do not have a </w:t>
      </w:r>
      <w:r w:rsidRPr="000533F9" w:rsidR="003B63DC">
        <w:t>significant</w:t>
      </w:r>
      <w:r w:rsidRPr="000533F9">
        <w:t xml:space="preserve"> </w:t>
      </w:r>
      <w:r w:rsidRPr="000533F9" w:rsidR="003B63DC">
        <w:t>impact</w:t>
      </w:r>
      <w:r w:rsidRPr="000533F9">
        <w:t xml:space="preserve"> on the consolidated financial statements or</w:t>
      </w:r>
      <w:r w:rsidRPr="000533F9" w:rsidR="003B63DC">
        <w:t xml:space="preserve"> other</w:t>
      </w:r>
      <w:r w:rsidRPr="000533F9">
        <w:t xml:space="preserve"> disclosures.</w:t>
      </w:r>
    </w:p>
    <w:p w:rsidR="008873E8" w:rsidRPr="008873E8" w:rsidP="008873E8" w14:paraId="3D1C0C9B" w14:textId="77777777">
      <w:pPr>
        <w:pStyle w:val="Bodytext2"/>
      </w:pPr>
    </w:p>
    <w:p w:rsidR="00984CDF" w:rsidRPr="008873E8" w:rsidP="008873E8" w14:paraId="781C7D1B" w14:textId="77777777">
      <w:pPr>
        <w:pStyle w:val="Bodytext2"/>
      </w:pPr>
      <w:r w:rsidRPr="008873E8">
        <w:t xml:space="preserve">In 2022 or later, </w:t>
      </w:r>
      <w:r w:rsidRPr="008873E8">
        <w:t>the Group will adopt the following new or amended standards issued by the IASB.</w:t>
      </w:r>
    </w:p>
    <w:p w:rsidR="00984CDF" w:rsidRPr="008873E8" w:rsidP="008873E8" w14:paraId="77F87D1A" w14:textId="77777777">
      <w:pPr>
        <w:pStyle w:val="Bodytext2"/>
      </w:pPr>
    </w:p>
    <w:p w:rsidR="00984CDF" w:rsidRPr="003B573A" w:rsidP="00984CDF" w14:paraId="12E437DF" w14:textId="77777777">
      <w:pPr>
        <w:pStyle w:val="Bodytext2"/>
        <w:rPr>
          <w:szCs w:val="15"/>
        </w:rPr>
      </w:pPr>
      <w:r w:rsidRPr="003B573A">
        <w:rPr>
          <w:szCs w:val="15"/>
        </w:rPr>
        <w:t>Amendments to IAS 37 Provisions, Contingent Liabilities and Contingent Assets</w:t>
      </w:r>
      <w:r w:rsidRPr="003B573A">
        <w:rPr>
          <w:i/>
          <w:iCs/>
          <w:szCs w:val="15"/>
        </w:rPr>
        <w:t xml:space="preserve"> </w:t>
      </w:r>
      <w:r w:rsidRPr="003B573A">
        <w:rPr>
          <w:szCs w:val="15"/>
        </w:rPr>
        <w:t>(effective for financial periods beginning on or after 1 January 2022)</w:t>
      </w:r>
      <w:r w:rsidR="00A1145E">
        <w:rPr>
          <w:szCs w:val="15"/>
        </w:rPr>
        <w:t xml:space="preserve"> </w:t>
      </w:r>
      <w:r w:rsidRPr="003B573A">
        <w:rPr>
          <w:szCs w:val="15"/>
        </w:rPr>
        <w:t>specify which costs an ent</w:t>
      </w:r>
      <w:r w:rsidRPr="003B573A">
        <w:rPr>
          <w:szCs w:val="15"/>
        </w:rPr>
        <w:t>ity needs to include when assessing whether a contract is onerous or loss-making. The amendments are intended to provide clarity and help to ensure consistent application of the standard. The amendments apply a directly related cost approach. The costs tha</w:t>
      </w:r>
      <w:r w:rsidRPr="003B573A">
        <w:rPr>
          <w:szCs w:val="15"/>
        </w:rPr>
        <w:t>t relate directly to a contract to provide goods or services include both incremental costs and an allocation of costs directly related to contract activities. Judgement will be required in determining which costs are directly related to contract activitie</w:t>
      </w:r>
      <w:r w:rsidRPr="003B573A">
        <w:rPr>
          <w:szCs w:val="15"/>
        </w:rPr>
        <w:t>s. The amendments are not expected to have a significant impact on the consolidated financial statements.</w:t>
      </w:r>
    </w:p>
    <w:p w:rsidR="00984CDF" w:rsidRPr="003B573A" w:rsidP="00984CDF" w14:paraId="58402F5E" w14:textId="77777777">
      <w:pPr>
        <w:pStyle w:val="Bodytext2"/>
        <w:rPr>
          <w:szCs w:val="15"/>
        </w:rPr>
      </w:pPr>
    </w:p>
    <w:p w:rsidR="00984CDF" w:rsidP="00984CDF" w14:paraId="3165FC52" w14:textId="77777777">
      <w:pPr>
        <w:pStyle w:val="Bodytext2"/>
        <w:rPr>
          <w:szCs w:val="15"/>
        </w:rPr>
      </w:pPr>
      <w:r w:rsidRPr="003B573A">
        <w:rPr>
          <w:szCs w:val="15"/>
        </w:rPr>
        <w:t>Amendments to IAS 16 Property, Plant and Equipment</w:t>
      </w:r>
      <w:r>
        <w:rPr>
          <w:szCs w:val="15"/>
        </w:rPr>
        <w:t xml:space="preserve"> </w:t>
      </w:r>
      <w:r w:rsidRPr="003B573A">
        <w:rPr>
          <w:szCs w:val="15"/>
        </w:rPr>
        <w:t>(effective for financial periods beginning on or after 1 January 2022)</w:t>
      </w:r>
      <w:r w:rsidR="00A1145E">
        <w:rPr>
          <w:szCs w:val="15"/>
        </w:rPr>
        <w:t xml:space="preserve"> </w:t>
      </w:r>
      <w:r w:rsidRPr="003B573A">
        <w:rPr>
          <w:szCs w:val="15"/>
        </w:rPr>
        <w:t>prohibit entities from dedu</w:t>
      </w:r>
      <w:r w:rsidRPr="003B573A">
        <w:rPr>
          <w:szCs w:val="15"/>
        </w:rPr>
        <w:t>cting from the cost of an item of property, plant and equipment, any proceeds of the sale of items produced while bringing that asset to the location and condition necessary for it to be capable of operating in the manner intended by the management. The pr</w:t>
      </w:r>
      <w:r w:rsidRPr="003B573A">
        <w:rPr>
          <w:szCs w:val="15"/>
        </w:rPr>
        <w:t>oceeds from selling such items and the costs of producing those items are recognised in the statement of income. The amendments will have no impact on the consolidated financial statements.</w:t>
      </w:r>
    </w:p>
    <w:p w:rsidR="005F1001" w:rsidP="00984CDF" w14:paraId="308DA118" w14:textId="77777777">
      <w:pPr>
        <w:pStyle w:val="Bodytext2"/>
        <w:rPr>
          <w:szCs w:val="15"/>
        </w:rPr>
      </w:pPr>
    </w:p>
    <w:p w:rsidR="003B63DC" w:rsidP="003B63DC" w14:paraId="4469DE40" w14:textId="77777777">
      <w:pPr>
        <w:pStyle w:val="Bodytext2"/>
      </w:pPr>
      <w:bookmarkStart w:id="1453" w:name="_Hlk93849292"/>
      <w:r w:rsidRPr="005F1001">
        <w:t>Reference to the Conceptual Framework amends IFRS 3 Business comb</w:t>
      </w:r>
      <w:r w:rsidRPr="005F1001">
        <w:t>inations (effective for financial periods beginning on or after 1 January 2022). The amendments update the reference to the 2018 Conceptual Framework, as well as add an exception to the recognition principle for liabilities and contingent liabilities withi</w:t>
      </w:r>
      <w:r w:rsidRPr="005F1001">
        <w:t>n the scope of IAS 37 or IFRIC 21. In addition, the amendments add clarification on the prohibition to recognise contingent assets at the acquisition date. The amendments will have no impact on the consolidated financial statements.</w:t>
      </w:r>
    </w:p>
    <w:p w:rsidR="003B63DC" w:rsidP="003B63DC" w14:paraId="2C80107F" w14:textId="77777777">
      <w:pPr>
        <w:pStyle w:val="Bodytext2"/>
      </w:pPr>
    </w:p>
    <w:p w:rsidR="003A7140" w:rsidP="003B63DC" w14:paraId="4805AA68" w14:textId="77777777">
      <w:pPr>
        <w:pStyle w:val="Bodytext2"/>
      </w:pPr>
      <w:r w:rsidRPr="003A7140">
        <w:t>Amendments to IAS 1 Pr</w:t>
      </w:r>
      <w:r w:rsidRPr="003A7140">
        <w:t>esentation of Financial Statements* (effective for financial periods beginning on or after 1 January 2023)</w:t>
      </w:r>
      <w:r w:rsidR="00A1145E">
        <w:t xml:space="preserve"> </w:t>
      </w:r>
      <w:r w:rsidRPr="003A7140">
        <w:t>clarify that liabilities are classified as either current or non-current, depending on the rights that exist at the end of the reporting period. Clas</w:t>
      </w:r>
      <w:r w:rsidRPr="003A7140">
        <w:t>sification is unaffected by the expectations of the entity or events after the reporting date. The amendments will have no impact on the consolidated financial statements.</w:t>
      </w:r>
    </w:p>
    <w:p w:rsidR="003A7140" w:rsidP="003B63DC" w14:paraId="1C67428E" w14:textId="77777777">
      <w:pPr>
        <w:pStyle w:val="Bodytext2"/>
      </w:pPr>
    </w:p>
    <w:p w:rsidR="005F1001" w:rsidRPr="003B63DC" w:rsidP="003B63DC" w14:paraId="40711535" w14:textId="77777777">
      <w:pPr>
        <w:pStyle w:val="Bodytext2"/>
      </w:pPr>
      <w:r w:rsidRPr="003B63DC">
        <w:t>Disclosure of Accounting policies* amends IAS 1 Presentation of Financial Statement</w:t>
      </w:r>
      <w:r w:rsidRPr="003B63DC">
        <w:t xml:space="preserve">s and IFRS Practice Statement 2 (effective for financial periods beginning on or after 1 January 2023). The amendments to IAS 1 require companies to disclose material accounting policy information instead of significant accounting policies. The amendments </w:t>
      </w:r>
      <w:r w:rsidRPr="003B63DC">
        <w:t>to IFRS Practice Statement 2 provide guidance on how to apply the materiality concept to accounting policy disclosures. The amendments are not expected to have a significant impact on the consolidated financial statements.</w:t>
      </w:r>
    </w:p>
    <w:p w:rsidR="00EE03C4" w:rsidRPr="003B63DC" w:rsidP="003B63DC" w14:paraId="4D476101" w14:textId="77777777">
      <w:pPr>
        <w:pStyle w:val="Bodytext2"/>
      </w:pPr>
    </w:p>
    <w:p w:rsidR="00EE03C4" w:rsidRPr="003B63DC" w:rsidP="003B63DC" w14:paraId="46613988" w14:textId="77777777">
      <w:pPr>
        <w:pStyle w:val="Bodytext2"/>
      </w:pPr>
      <w:r w:rsidRPr="003B63DC">
        <w:t xml:space="preserve">Definition of </w:t>
      </w:r>
      <w:r w:rsidRPr="003B63DC">
        <w:t>Accounting Estimates* amends IAS 8 Accounting Policies</w:t>
      </w:r>
      <w:r w:rsidRPr="00EE03C4">
        <w:t xml:space="preserve">, Changes in Accounting Estimates and Errors (effective for financial periods beginning on or after 1 January 2023). The amendments define both the concept of accounting estimates and changes in those. </w:t>
      </w:r>
      <w:r w:rsidRPr="00EE03C4">
        <w:t xml:space="preserve">Accounting estimates are defined as monetary </w:t>
      </w:r>
      <w:r w:rsidRPr="003B63DC">
        <w:t>amounts in financial statements that are subject to measurement uncertainty. In addition, the amendments provide clarification on how changes in accounting estimates differ from changes in accounting policies an</w:t>
      </w:r>
      <w:r w:rsidRPr="003B63DC">
        <w:t>d corrections of errors. The amendments will have no impact on the consolidated financial statements.</w:t>
      </w:r>
    </w:p>
    <w:p w:rsidR="002641E5" w:rsidRPr="003B63DC" w:rsidP="003B63DC" w14:paraId="1AE8EBE7" w14:textId="77777777">
      <w:pPr>
        <w:pStyle w:val="Bodytext2"/>
      </w:pPr>
    </w:p>
    <w:p w:rsidR="00FA1016" w:rsidRPr="003B63DC" w:rsidP="003B63DC" w14:paraId="74AEBA0E" w14:textId="77777777">
      <w:pPr>
        <w:pStyle w:val="Bodytext2"/>
      </w:pPr>
      <w:r w:rsidRPr="003B63DC">
        <w:t>Amendments to IAS 12 Income taxes* (effective for financial periods beginning on or after 1 January 2023)</w:t>
      </w:r>
      <w:r w:rsidR="00A1145E">
        <w:t xml:space="preserve"> </w:t>
      </w:r>
      <w:r w:rsidRPr="003B63DC">
        <w:t xml:space="preserve">require companies to recognise deferred tax on </w:t>
      </w:r>
      <w:r w:rsidRPr="003B63DC">
        <w:t>transactions that, on initial recognition give rise to equal amounts of taxable and deductible temporary differences.</w:t>
      </w:r>
      <w:bookmarkEnd w:id="1453"/>
      <w:r>
        <w:t xml:space="preserve"> </w:t>
      </w:r>
      <w:r w:rsidRPr="003B63DC">
        <w:t>The impact is under review within the Group.</w:t>
      </w:r>
    </w:p>
    <w:p w:rsidR="00984CDF" w:rsidRPr="003B63DC" w:rsidP="003B63DC" w14:paraId="6E24B3AD" w14:textId="77777777">
      <w:pPr>
        <w:pStyle w:val="Bodytext2"/>
      </w:pPr>
    </w:p>
    <w:p w:rsidR="00984CDF" w:rsidRPr="003B63DC" w:rsidP="003B63DC" w14:paraId="110DF926" w14:textId="77777777">
      <w:pPr>
        <w:pStyle w:val="Bodytext2"/>
      </w:pPr>
      <w:r w:rsidRPr="003B63DC">
        <w:t>IFRS 17 Insurance Contracts (effective for financial periods beginning on or after 1 January</w:t>
      </w:r>
      <w:r w:rsidRPr="003B63DC">
        <w:t xml:space="preserve"> 2023)</w:t>
      </w:r>
      <w:r w:rsidR="00A1145E">
        <w:t xml:space="preserve"> </w:t>
      </w:r>
      <w:r w:rsidRPr="003B63DC">
        <w:t>applies to all types of insurance contracts (direct insurance and re-insurance) regardless of the type of entities that issue them, as well as to certain guarantees and financial instruments with discretionary participation features. The overall obj</w:t>
      </w:r>
      <w:r w:rsidRPr="003B63DC">
        <w:t>ective is to provide a consistent accounting model for insurance contracts. The impact is under review within the Group.</w:t>
      </w:r>
    </w:p>
    <w:p w:rsidR="002E128D" w:rsidRPr="003B63DC" w:rsidP="003B63DC" w14:paraId="601BDFAC" w14:textId="77777777">
      <w:pPr>
        <w:pStyle w:val="Bodytext2"/>
      </w:pPr>
    </w:p>
    <w:p w:rsidR="009C6E08" w:rsidRPr="003B63DC" w:rsidP="009C6E08" w14:paraId="2860C485" w14:textId="77777777">
      <w:pPr>
        <w:pStyle w:val="Bodytext2"/>
      </w:pPr>
      <w:r w:rsidRPr="007344A7">
        <w:t>Other new or amended standards and interpretations not yet effective are not expected to have a significant impact on the consolidated</w:t>
      </w:r>
      <w:r w:rsidRPr="007344A7">
        <w:t xml:space="preserve"> financial statements or other disclosures.</w:t>
      </w:r>
    </w:p>
    <w:p w:rsidR="00984CDF" w:rsidRPr="003B63DC" w:rsidP="003B63DC" w14:paraId="235FDF89" w14:textId="77777777">
      <w:pPr>
        <w:pStyle w:val="Bodytext2"/>
      </w:pPr>
    </w:p>
    <w:p w:rsidR="00984CDF" w:rsidRPr="003B63DC" w:rsidP="003B63DC" w14:paraId="300F4D9B" w14:textId="77777777">
      <w:pPr>
        <w:pStyle w:val="Bodytext2"/>
      </w:pPr>
      <w:r w:rsidRPr="003B63DC">
        <w:t>* Not yet endorsed for use by the European Union as of 31 December 2021</w:t>
      </w:r>
      <w:r w:rsidR="009C6E08">
        <w:t>.</w:t>
      </w:r>
    </w:p>
    <w:p w:rsidR="00984CDF" w:rsidRPr="003B573A" w:rsidP="00984CDF" w14:paraId="56210E0C" w14:textId="77777777">
      <w:pPr>
        <w:pStyle w:val="Bodytext2"/>
        <w:rPr>
          <w:szCs w:val="15"/>
        </w:rPr>
      </w:pPr>
    </w:p>
    <w:p w:rsidR="00984CDF" w:rsidRPr="003B573A" w:rsidP="00984CDF" w14:paraId="4D24BAED" w14:textId="77777777">
      <w:pPr>
        <w:pStyle w:val="Heading12"/>
      </w:pPr>
      <w:r w:rsidRPr="003B573A">
        <w:t>1.4. MANAGEMENT JUDGEMENT AND USE OF ESTIMATES</w:t>
      </w:r>
    </w:p>
    <w:p w:rsidR="00984CDF" w:rsidRPr="003B573A" w:rsidP="00984CDF" w14:paraId="1523E467" w14:textId="77777777">
      <w:pPr>
        <w:pStyle w:val="Bodytext2"/>
        <w:rPr>
          <w:szCs w:val="15"/>
        </w:rPr>
      </w:pPr>
      <w:r w:rsidRPr="003B573A">
        <w:rPr>
          <w:szCs w:val="15"/>
        </w:rPr>
        <w:t xml:space="preserve">Preparation of the financial statements in accordance with the IFRS requires </w:t>
      </w:r>
      <w:r w:rsidRPr="003B573A">
        <w:rPr>
          <w:szCs w:val="15"/>
        </w:rPr>
        <w:t>management to make judgements, estimates</w:t>
      </w:r>
      <w:r w:rsidR="00FB0A08">
        <w:rPr>
          <w:szCs w:val="15"/>
        </w:rPr>
        <w:t>,</w:t>
      </w:r>
      <w:r w:rsidRPr="003B573A">
        <w:rPr>
          <w:szCs w:val="15"/>
        </w:rPr>
        <w:t xml:space="preserve"> and assumptions that affect the valuation of the reported assets and liabilities, as well as other information, such as contingent assets and liabilities and the recognition of income and expenses in the statement </w:t>
      </w:r>
      <w:r w:rsidRPr="003B573A">
        <w:rPr>
          <w:szCs w:val="15"/>
        </w:rPr>
        <w:t>of income. Although these</w:t>
      </w:r>
      <w:r w:rsidRPr="003B573A" w:rsidR="00F93E8D">
        <w:rPr>
          <w:szCs w:val="15"/>
        </w:rPr>
        <w:t xml:space="preserve"> continuously evaluated</w:t>
      </w:r>
      <w:r w:rsidRPr="003B573A">
        <w:rPr>
          <w:szCs w:val="15"/>
        </w:rPr>
        <w:t xml:space="preserve"> </w:t>
      </w:r>
      <w:r w:rsidRPr="003B573A" w:rsidR="00F93E8D">
        <w:rPr>
          <w:szCs w:val="15"/>
        </w:rPr>
        <w:t xml:space="preserve">judgements, </w:t>
      </w:r>
      <w:r w:rsidRPr="003B573A">
        <w:rPr>
          <w:szCs w:val="15"/>
        </w:rPr>
        <w:t>estimates</w:t>
      </w:r>
      <w:r w:rsidR="00D92D57">
        <w:rPr>
          <w:szCs w:val="15"/>
        </w:rPr>
        <w:t>,</w:t>
      </w:r>
      <w:r w:rsidRPr="003B573A">
        <w:rPr>
          <w:szCs w:val="15"/>
        </w:rPr>
        <w:t xml:space="preserve"> and assumptions are based on management’s past experience and best knowledge of</w:t>
      </w:r>
      <w:r w:rsidRPr="003B573A" w:rsidR="00F93E8D">
        <w:rPr>
          <w:szCs w:val="15"/>
        </w:rPr>
        <w:t xml:space="preserve"> </w:t>
      </w:r>
      <w:r w:rsidRPr="003B573A">
        <w:rPr>
          <w:szCs w:val="15"/>
        </w:rPr>
        <w:t>current events and actions</w:t>
      </w:r>
      <w:r>
        <w:rPr>
          <w:szCs w:val="15"/>
        </w:rPr>
        <w:t>,</w:t>
      </w:r>
      <w:r w:rsidRPr="003B573A" w:rsidR="00F93E8D">
        <w:rPr>
          <w:szCs w:val="15"/>
        </w:rPr>
        <w:t xml:space="preserve"> as well as expectations of future events,</w:t>
      </w:r>
      <w:r w:rsidRPr="003B573A">
        <w:rPr>
          <w:szCs w:val="15"/>
        </w:rPr>
        <w:t xml:space="preserve"> actual results may differ from the</w:t>
      </w:r>
      <w:r w:rsidRPr="003B573A">
        <w:rPr>
          <w:szCs w:val="15"/>
        </w:rPr>
        <w:t xml:space="preserve"> estimates.</w:t>
      </w:r>
    </w:p>
    <w:p w:rsidR="00984CDF" w:rsidRPr="003B573A" w:rsidP="00984CDF" w14:paraId="1CFDEFC7" w14:textId="77777777">
      <w:pPr>
        <w:pStyle w:val="Bodytext2"/>
        <w:rPr>
          <w:szCs w:val="15"/>
        </w:rPr>
      </w:pPr>
    </w:p>
    <w:p w:rsidR="00984CDF" w:rsidRPr="003B573A" w:rsidP="00984CDF" w14:paraId="54E46D26" w14:textId="77777777">
      <w:pPr>
        <w:pStyle w:val="Bodytext2"/>
        <w:rPr>
          <w:szCs w:val="15"/>
        </w:rPr>
      </w:pPr>
      <w:r w:rsidRPr="003B573A">
        <w:rPr>
          <w:szCs w:val="15"/>
        </w:rPr>
        <w:t>For Wärtsilä, the most significant judgements, estimates, and assumptions made by the management relate to the items listed below, more information can be found in the corresponding note:</w:t>
      </w:r>
    </w:p>
    <w:p w:rsidR="00984CDF" w:rsidRPr="003B573A" w:rsidP="006C2CD9" w14:paraId="5A3C2C0F" w14:textId="77777777">
      <w:pPr>
        <w:pStyle w:val="Bodytext2"/>
        <w:numPr>
          <w:ilvl w:val="0"/>
          <w:numId w:val="2"/>
        </w:numPr>
        <w:rPr>
          <w:szCs w:val="15"/>
        </w:rPr>
      </w:pPr>
      <w:r w:rsidRPr="003B573A">
        <w:rPr>
          <w:szCs w:val="15"/>
        </w:rPr>
        <w:t>revenue recognition, especially project estimates for l</w:t>
      </w:r>
      <w:r w:rsidRPr="003B573A">
        <w:rPr>
          <w:szCs w:val="15"/>
        </w:rPr>
        <w:t>ong-term projects and agreements (</w:t>
      </w:r>
      <w:r w:rsidRPr="003B573A" w:rsidR="00577C31">
        <w:rPr>
          <w:szCs w:val="15"/>
        </w:rPr>
        <w:t>N</w:t>
      </w:r>
      <w:r w:rsidRPr="003B573A">
        <w:rPr>
          <w:szCs w:val="15"/>
        </w:rPr>
        <w:t>ote 2.2. Revenue recognition),</w:t>
      </w:r>
    </w:p>
    <w:p w:rsidR="00577C31" w:rsidRPr="003B573A" w:rsidP="00577C31" w14:paraId="517332CF" w14:textId="77777777">
      <w:pPr>
        <w:pStyle w:val="Bodytext2"/>
        <w:numPr>
          <w:ilvl w:val="0"/>
          <w:numId w:val="2"/>
        </w:numPr>
        <w:rPr>
          <w:szCs w:val="15"/>
        </w:rPr>
      </w:pPr>
      <w:r w:rsidRPr="003B573A">
        <w:rPr>
          <w:szCs w:val="15"/>
        </w:rPr>
        <w:t>uncertain tax positions (Note 2.6. Income taxes),</w:t>
      </w:r>
    </w:p>
    <w:p w:rsidR="00984CDF" w:rsidRPr="003B573A" w:rsidP="00E55EB6" w14:paraId="4B71169A" w14:textId="77777777">
      <w:pPr>
        <w:pStyle w:val="Bodytext2"/>
        <w:numPr>
          <w:ilvl w:val="0"/>
          <w:numId w:val="2"/>
        </w:numPr>
        <w:rPr>
          <w:szCs w:val="15"/>
        </w:rPr>
      </w:pPr>
      <w:r w:rsidRPr="003B573A">
        <w:rPr>
          <w:szCs w:val="15"/>
        </w:rPr>
        <w:t>impairment testing (</w:t>
      </w:r>
      <w:r w:rsidRPr="003B573A" w:rsidR="00577C31">
        <w:rPr>
          <w:szCs w:val="15"/>
        </w:rPr>
        <w:t>N</w:t>
      </w:r>
      <w:r w:rsidRPr="003B573A">
        <w:rPr>
          <w:szCs w:val="15"/>
        </w:rPr>
        <w:t>ote 3.1. Goodwill),</w:t>
      </w:r>
    </w:p>
    <w:p w:rsidR="009D167B" w:rsidRPr="003B573A" w:rsidP="00E55EB6" w14:paraId="4C7CDEE5" w14:textId="77777777">
      <w:pPr>
        <w:pStyle w:val="Bodytext2"/>
        <w:numPr>
          <w:ilvl w:val="0"/>
          <w:numId w:val="2"/>
        </w:numPr>
        <w:rPr>
          <w:szCs w:val="15"/>
        </w:rPr>
      </w:pPr>
      <w:r w:rsidRPr="003B573A">
        <w:rPr>
          <w:szCs w:val="15"/>
        </w:rPr>
        <w:t>estimating useful lives and assessing indication of impairment</w:t>
      </w:r>
      <w:r w:rsidRPr="003B573A" w:rsidR="00FD200E">
        <w:rPr>
          <w:szCs w:val="15"/>
        </w:rPr>
        <w:t xml:space="preserve"> </w:t>
      </w:r>
      <w:r w:rsidRPr="003B573A">
        <w:rPr>
          <w:szCs w:val="15"/>
        </w:rPr>
        <w:t>(</w:t>
      </w:r>
      <w:r w:rsidRPr="003B573A" w:rsidR="00577C31">
        <w:rPr>
          <w:szCs w:val="15"/>
        </w:rPr>
        <w:t>N</w:t>
      </w:r>
      <w:r w:rsidRPr="003B573A">
        <w:rPr>
          <w:szCs w:val="15"/>
        </w:rPr>
        <w:t xml:space="preserve">otes 3.2. Other </w:t>
      </w:r>
      <w:r w:rsidRPr="003B573A">
        <w:rPr>
          <w:szCs w:val="15"/>
        </w:rPr>
        <w:t>intangible assets and 3.3. Property, plant and equi</w:t>
      </w:r>
      <w:r w:rsidRPr="003B573A" w:rsidR="00577C31">
        <w:rPr>
          <w:szCs w:val="15"/>
        </w:rPr>
        <w:t>p</w:t>
      </w:r>
      <w:r w:rsidRPr="003B573A">
        <w:rPr>
          <w:szCs w:val="15"/>
        </w:rPr>
        <w:t>ment)</w:t>
      </w:r>
      <w:r w:rsidRPr="003B573A" w:rsidR="00577C31">
        <w:rPr>
          <w:szCs w:val="15"/>
        </w:rPr>
        <w:t>,</w:t>
      </w:r>
    </w:p>
    <w:p w:rsidR="00577C31" w:rsidRPr="003B573A" w:rsidP="00577C31" w14:paraId="6D7FE5EF" w14:textId="77777777">
      <w:pPr>
        <w:pStyle w:val="Bodytext2"/>
        <w:numPr>
          <w:ilvl w:val="0"/>
          <w:numId w:val="2"/>
        </w:numPr>
        <w:rPr>
          <w:szCs w:val="15"/>
        </w:rPr>
      </w:pPr>
      <w:r w:rsidRPr="003B573A">
        <w:rPr>
          <w:szCs w:val="15"/>
        </w:rPr>
        <w:t>determining the length of lease terms (Note 3.4. Leases),</w:t>
      </w:r>
    </w:p>
    <w:p w:rsidR="00577C31" w:rsidRPr="003B573A" w:rsidP="00577C31" w14:paraId="5EA4ED7F" w14:textId="77777777">
      <w:pPr>
        <w:pStyle w:val="Bodytext2"/>
        <w:numPr>
          <w:ilvl w:val="0"/>
          <w:numId w:val="2"/>
        </w:numPr>
        <w:rPr>
          <w:szCs w:val="15"/>
        </w:rPr>
      </w:pPr>
      <w:r w:rsidRPr="003B573A">
        <w:rPr>
          <w:szCs w:val="15"/>
        </w:rPr>
        <w:t>valuation of inventories (Note 4.1. Inventories),</w:t>
      </w:r>
    </w:p>
    <w:p w:rsidR="00984CDF" w:rsidRPr="003B573A" w:rsidP="00CE6A42" w14:paraId="7837FBB9" w14:textId="77777777">
      <w:pPr>
        <w:pStyle w:val="Bodytext2"/>
        <w:numPr>
          <w:ilvl w:val="0"/>
          <w:numId w:val="2"/>
        </w:numPr>
        <w:rPr>
          <w:szCs w:val="15"/>
        </w:rPr>
      </w:pPr>
      <w:r w:rsidRPr="003B573A">
        <w:rPr>
          <w:szCs w:val="15"/>
        </w:rPr>
        <w:t>valuation of trade receivables (</w:t>
      </w:r>
      <w:r w:rsidRPr="003B573A" w:rsidR="00577C31">
        <w:rPr>
          <w:szCs w:val="15"/>
        </w:rPr>
        <w:t>N</w:t>
      </w:r>
      <w:r w:rsidRPr="003B573A">
        <w:rPr>
          <w:szCs w:val="15"/>
        </w:rPr>
        <w:t>ote 4.2. Trade receivables and contract assets and liabi</w:t>
      </w:r>
      <w:r w:rsidRPr="003B573A">
        <w:rPr>
          <w:szCs w:val="15"/>
        </w:rPr>
        <w:t>lities),</w:t>
      </w:r>
    </w:p>
    <w:p w:rsidR="00577C31" w:rsidRPr="003B573A" w:rsidP="00577C31" w14:paraId="16C0D934" w14:textId="77777777">
      <w:pPr>
        <w:pStyle w:val="Bodytext2"/>
        <w:numPr>
          <w:ilvl w:val="0"/>
          <w:numId w:val="2"/>
        </w:numPr>
        <w:rPr>
          <w:szCs w:val="15"/>
        </w:rPr>
      </w:pPr>
      <w:r w:rsidRPr="003B573A">
        <w:rPr>
          <w:szCs w:val="15"/>
        </w:rPr>
        <w:t>recognition of warranty provisions and provisions for legal cases (</w:t>
      </w:r>
      <w:r w:rsidRPr="003B573A" w:rsidR="00FD200E">
        <w:rPr>
          <w:szCs w:val="15"/>
        </w:rPr>
        <w:t>N</w:t>
      </w:r>
      <w:r w:rsidRPr="003B573A">
        <w:rPr>
          <w:szCs w:val="15"/>
        </w:rPr>
        <w:t>ote 4.5. Provisions),</w:t>
      </w:r>
    </w:p>
    <w:p w:rsidR="00577C31" w:rsidRPr="003B573A" w:rsidP="00577C31" w14:paraId="7F595011" w14:textId="77777777">
      <w:pPr>
        <w:pStyle w:val="Bodytext2"/>
        <w:numPr>
          <w:ilvl w:val="0"/>
          <w:numId w:val="2"/>
        </w:numPr>
        <w:rPr>
          <w:szCs w:val="15"/>
        </w:rPr>
      </w:pPr>
      <w:r w:rsidRPr="003B573A">
        <w:rPr>
          <w:szCs w:val="15"/>
        </w:rPr>
        <w:t xml:space="preserve">expected results on tax audits and </w:t>
      </w:r>
      <w:r>
        <w:rPr>
          <w:szCs w:val="15"/>
        </w:rPr>
        <w:t>deferred tax assets</w:t>
      </w:r>
      <w:r w:rsidRPr="003B573A">
        <w:rPr>
          <w:szCs w:val="15"/>
        </w:rPr>
        <w:t xml:space="preserve"> from tax losses (</w:t>
      </w:r>
      <w:r w:rsidRPr="003B573A" w:rsidR="00FD200E">
        <w:rPr>
          <w:szCs w:val="15"/>
        </w:rPr>
        <w:t>N</w:t>
      </w:r>
      <w:r w:rsidRPr="003B573A">
        <w:rPr>
          <w:szCs w:val="15"/>
        </w:rPr>
        <w:t>ote 4.6. Deferred taxes)</w:t>
      </w:r>
      <w:r w:rsidRPr="003B573A" w:rsidR="00FD200E">
        <w:rPr>
          <w:szCs w:val="15"/>
        </w:rPr>
        <w:t>, and</w:t>
      </w:r>
    </w:p>
    <w:p w:rsidR="00984CDF" w:rsidRPr="003B573A" w:rsidP="004E4A8F" w14:paraId="20619483" w14:textId="77777777">
      <w:pPr>
        <w:pStyle w:val="Bodytext2"/>
        <w:numPr>
          <w:ilvl w:val="0"/>
          <w:numId w:val="2"/>
        </w:numPr>
        <w:rPr>
          <w:szCs w:val="15"/>
        </w:rPr>
      </w:pPr>
      <w:r w:rsidRPr="003B573A">
        <w:rPr>
          <w:szCs w:val="15"/>
        </w:rPr>
        <w:t>defined pension benefit obligations (Note 4.7. Pension</w:t>
      </w:r>
      <w:r w:rsidRPr="003B573A">
        <w:rPr>
          <w:szCs w:val="15"/>
        </w:rPr>
        <w:t xml:space="preserve"> obligations),</w:t>
      </w:r>
    </w:p>
    <w:p w:rsidR="00FD200E" w:rsidRPr="003B573A" w:rsidP="00984CDF" w14:paraId="5A8B34A3" w14:textId="77777777">
      <w:pPr>
        <w:pStyle w:val="Bodytext2"/>
        <w:rPr>
          <w:szCs w:val="15"/>
        </w:rPr>
      </w:pPr>
    </w:p>
    <w:p w:rsidR="00885DDC" w:rsidP="00984CDF" w14:paraId="296F4342" w14:textId="77777777">
      <w:pPr>
        <w:pStyle w:val="Bodytext2"/>
        <w:rPr>
          <w:szCs w:val="15"/>
        </w:rPr>
      </w:pPr>
      <w:r w:rsidRPr="003B573A">
        <w:rPr>
          <w:szCs w:val="15"/>
        </w:rPr>
        <w:t>In addition, accounting for business combinations may require significant management judgement (</w:t>
      </w:r>
      <w:r>
        <w:rPr>
          <w:szCs w:val="15"/>
        </w:rPr>
        <w:t>N</w:t>
      </w:r>
      <w:r w:rsidRPr="003B573A">
        <w:rPr>
          <w:szCs w:val="15"/>
        </w:rPr>
        <w:t>ote 6.1. Acquisitions).</w:t>
      </w:r>
    </w:p>
    <w:p w:rsidR="00885DDC" w:rsidP="00984CDF" w14:paraId="2C73FFFD" w14:textId="77777777">
      <w:pPr>
        <w:pStyle w:val="Bodytext2"/>
        <w:rPr>
          <w:szCs w:val="15"/>
        </w:rPr>
      </w:pPr>
    </w:p>
    <w:p w:rsidR="003B63DC" w:rsidP="00885DDC" w14:paraId="79304B8C" w14:textId="77777777">
      <w:pPr>
        <w:pStyle w:val="Bodytext2"/>
      </w:pPr>
      <w:r w:rsidRPr="00885DDC">
        <w:t>The COVID-19 pandemic has caused Wärtsilä to review the estimates and assumptions used in the preparation of the conso</w:t>
      </w:r>
      <w:r w:rsidRPr="00885DDC">
        <w:t>lidated financial statements. The possible impact of the situation caused by the coronavirus pandemic on the relevant factors in each estimate have been considered. The impact of the COVID-19 pandemic on estimates in the financial reporting rely on managem</w:t>
      </w:r>
      <w:r w:rsidRPr="00885DDC">
        <w:t>ent’s best judgement</w:t>
      </w:r>
      <w:r w:rsidR="009C6E08">
        <w:t>.</w:t>
      </w:r>
    </w:p>
    <w:p w:rsidR="003B63DC" w:rsidP="00885DDC" w14:paraId="4CCF345E" w14:textId="77777777">
      <w:pPr>
        <w:pStyle w:val="Bodytext2"/>
      </w:pPr>
    </w:p>
    <w:p w:rsidR="003B63DC" w:rsidP="003B63DC" w14:paraId="4418D363" w14:textId="77777777">
      <w:pPr>
        <w:pStyle w:val="Heading12"/>
      </w:pPr>
      <w:r>
        <w:t>1.5. CHANGES IN ACCOUNTING PRINCIPLES</w:t>
      </w:r>
    </w:p>
    <w:p w:rsidR="003B63DC" w:rsidRPr="003B63DC" w:rsidP="003B63DC" w14:paraId="0772639F" w14:textId="77777777">
      <w:pPr>
        <w:pStyle w:val="Bodytext2"/>
      </w:pPr>
      <w:r w:rsidRPr="003B63DC">
        <w:t>Financial assets and liabilities recognised at fair value through other comprehensive income include the effective portion of derivatives eligible for hedge accounting. Financial</w:t>
      </w:r>
      <w:r w:rsidRPr="003B63DC">
        <w:t xml:space="preserve"> assets and liabilities measured at fair value through the statement of income includes derivatives that are not eligible for hedge accounting.</w:t>
      </w:r>
    </w:p>
    <w:p w:rsidR="003B63DC" w:rsidRPr="003B63DC" w:rsidP="003B63DC" w14:paraId="4A647865" w14:textId="77777777">
      <w:pPr>
        <w:pStyle w:val="Bodytext2"/>
      </w:pPr>
    </w:p>
    <w:p w:rsidR="003B63DC" w:rsidRPr="003B63DC" w:rsidP="003B63DC" w14:paraId="0B6B85EC" w14:textId="77777777">
      <w:pPr>
        <w:pStyle w:val="Bodytext2"/>
      </w:pPr>
      <w:r w:rsidRPr="003B63DC">
        <w:t>Starting as of 1 January 2021, Wärtsilä has revised the accounting principles regarding presentation of the res</w:t>
      </w:r>
      <w:r w:rsidRPr="003B63DC">
        <w:t xml:space="preserve">ult from derivatives. Gains and losses on derivatives not included in hedge accounting, as well as ineffectiveness arising from hedges included in hedge accounting, are recognised in other operating income, other operating expenses or financial income and </w:t>
      </w:r>
      <w:r w:rsidRPr="003B63DC">
        <w:t>expenses depending on where the underlying hedged item is recognised in the statement of income. Wärtsilä continues to recognise the time value of derivatives in financial income and expenses.</w:t>
      </w:r>
    </w:p>
    <w:p w:rsidR="003B63DC" w:rsidRPr="003B63DC" w:rsidP="003B63DC" w14:paraId="36FD704C" w14:textId="77777777">
      <w:pPr>
        <w:pStyle w:val="Bodytext2"/>
      </w:pPr>
    </w:p>
    <w:p w:rsidR="00984CDF" w:rsidRPr="00885DDC" w:rsidP="003B63DC" w14:paraId="33C9EAFA" w14:textId="77777777">
      <w:pPr>
        <w:pStyle w:val="Bodytext2"/>
      </w:pPr>
      <w:r w:rsidRPr="003B63DC">
        <w:t>The purpose of this change is to align the presentation of the</w:t>
      </w:r>
      <w:r w:rsidRPr="003B63DC">
        <w:t xml:space="preserve"> hedging result in the statement of income with the presentation of the hedged item. This change in the accounting principles does not have a significant impact on the consolidated financial statements</w:t>
      </w:r>
      <w:r w:rsidRPr="003B63DC" w:rsidR="00D04207">
        <w:t>.</w:t>
      </w:r>
      <w:r w:rsidRPr="00885DDC" w:rsidR="00D04207">
        <w:br w:type="column"/>
      </w:r>
    </w:p>
    <w:p w:rsidR="00692FA5" w:rsidP="00184773" w14:paraId="441FC6F3" w14:textId="77777777">
      <w:pPr>
        <w:pStyle w:val="Heading11"/>
      </w:pPr>
      <w:bookmarkStart w:id="1454" w:name="RG_MARKER_7257"/>
      <w:bookmarkStart w:id="1455" w:name="RG_MARKER_7346"/>
      <w:r>
        <w:rPr>
          <w:noProof/>
        </w:rPr>
        <w:drawing>
          <wp:anchor distT="0" distB="0" distL="114300" distR="114300" simplePos="0" relativeHeight="251669504" behindDoc="1" locked="0" layoutInCell="1" allowOverlap="1">
            <wp:simplePos x="0" y="0"/>
            <wp:positionH relativeFrom="page">
              <wp:posOffset>0</wp:posOffset>
            </wp:positionH>
            <wp:positionV relativeFrom="page">
              <wp:posOffset>1155940</wp:posOffset>
            </wp:positionV>
            <wp:extent cx="5115600" cy="5579745"/>
            <wp:effectExtent l="0" t="0" r="8890" b="1905"/>
            <wp:wrapNone/>
            <wp:docPr id="11005776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633984" name="Picture 1"/>
                    <pic:cNvPicPr/>
                  </pic:nvPicPr>
                  <pic:blipFill>
                    <a:blip xmlns:r="http://schemas.openxmlformats.org/officeDocument/2006/relationships" r:embed="rId53">
                      <a:extLst>
                        <a:ext xmlns:a="http://schemas.openxmlformats.org/drawingml/2006/main" uri="{28A0092B-C50C-407E-A947-70E740481C1C}">
                          <a14:useLocalDpi xmlns:a14="http://schemas.microsoft.com/office/drawing/2010/main" val="0"/>
                        </a:ext>
                      </a:extLst>
                    </a:blip>
                    <a:srcRect l="-246" t="-258" r="232" b="249"/>
                    <a:stretch>
                      <a:fillRect/>
                    </a:stretch>
                  </pic:blipFill>
                  <pic:spPr bwMode="auto">
                    <a:xfrm>
                      <a:off x="0" y="0"/>
                      <a:ext cx="5116307" cy="5580516"/>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End w:id="1455"/>
      <w:bookmarkEnd w:id="1454"/>
    </w:p>
    <w:p w:rsidR="00692FA5" w:rsidP="00184773" w14:paraId="1220308C" w14:textId="77777777">
      <w:pPr>
        <w:pStyle w:val="Heading11"/>
      </w:pPr>
    </w:p>
    <w:p w:rsidR="00692FA5" w:rsidP="00184773" w14:paraId="77F31D48" w14:textId="77777777">
      <w:pPr>
        <w:pStyle w:val="Heading11"/>
      </w:pPr>
    </w:p>
    <w:p w:rsidR="00692FA5" w:rsidP="00184773" w14:paraId="44B75CBA" w14:textId="77777777">
      <w:pPr>
        <w:pStyle w:val="Heading11"/>
      </w:pPr>
    </w:p>
    <w:p w:rsidR="00692FA5" w:rsidP="00184773" w14:paraId="496D11ED" w14:textId="77777777">
      <w:pPr>
        <w:pStyle w:val="Heading11"/>
      </w:pPr>
    </w:p>
    <w:p w:rsidR="00692FA5" w:rsidP="00184773" w14:paraId="7855A070" w14:textId="77777777">
      <w:pPr>
        <w:pStyle w:val="Heading11"/>
      </w:pPr>
    </w:p>
    <w:p w:rsidR="00692FA5" w:rsidP="00184773" w14:paraId="07F8E5BF" w14:textId="77777777">
      <w:pPr>
        <w:pStyle w:val="Heading11"/>
      </w:pPr>
    </w:p>
    <w:p w:rsidR="00692FA5" w:rsidP="00184773" w14:paraId="72928A01" w14:textId="77777777">
      <w:pPr>
        <w:pStyle w:val="Heading11"/>
      </w:pPr>
    </w:p>
    <w:p w:rsidR="00692FA5" w:rsidP="00184773" w14:paraId="7AC53C59" w14:textId="77777777">
      <w:pPr>
        <w:pStyle w:val="Heading11"/>
      </w:pPr>
    </w:p>
    <w:p w:rsidR="00692FA5" w:rsidP="00184773" w14:paraId="7BA9296D" w14:textId="77777777">
      <w:pPr>
        <w:pStyle w:val="Heading11"/>
      </w:pPr>
    </w:p>
    <w:p w:rsidR="00692FA5" w:rsidP="00184773" w14:paraId="23A7279F" w14:textId="77777777">
      <w:pPr>
        <w:pStyle w:val="Heading11"/>
      </w:pPr>
    </w:p>
    <w:p w:rsidR="00692FA5" w:rsidP="00184773" w14:paraId="5EA7BD53" w14:textId="77777777">
      <w:pPr>
        <w:pStyle w:val="Heading11"/>
      </w:pPr>
    </w:p>
    <w:p w:rsidR="00692FA5" w:rsidP="00184773" w14:paraId="64170CB1" w14:textId="77777777">
      <w:pPr>
        <w:pStyle w:val="Heading11"/>
      </w:pPr>
    </w:p>
    <w:p w:rsidR="00692FA5" w:rsidP="00184773" w14:paraId="634EBF96" w14:textId="77777777">
      <w:pPr>
        <w:pStyle w:val="Heading11"/>
      </w:pPr>
    </w:p>
    <w:p w:rsidR="00692FA5" w:rsidP="00184773" w14:paraId="5F18BCCD" w14:textId="77777777">
      <w:pPr>
        <w:pStyle w:val="Heading11"/>
      </w:pPr>
    </w:p>
    <w:p w:rsidR="00692FA5" w:rsidP="00184773" w14:paraId="530FE01C" w14:textId="77777777">
      <w:pPr>
        <w:pStyle w:val="Heading11"/>
      </w:pPr>
    </w:p>
    <w:p w:rsidR="00692FA5" w:rsidP="00184773" w14:paraId="231571A2" w14:textId="77777777">
      <w:pPr>
        <w:pStyle w:val="Heading11"/>
      </w:pPr>
    </w:p>
    <w:p w:rsidR="00184773" w:rsidP="00184773" w14:paraId="08B51711" w14:textId="77777777">
      <w:pPr>
        <w:pStyle w:val="Heading11"/>
      </w:pPr>
      <w:r>
        <w:t>2. GROUP FINANCIAL PERFORMANCE</w:t>
      </w:r>
    </w:p>
    <w:p w:rsidR="00740FE2" w:rsidP="00740FE2" w14:paraId="26429808" w14:textId="77777777">
      <w:pPr>
        <w:pStyle w:val="Heading12"/>
        <w:rPr>
          <w:b w:val="0"/>
        </w:rPr>
      </w:pPr>
      <w:r>
        <w:rPr>
          <w:noProof/>
        </w:rPr>
        <mc:AlternateContent>
          <mc:Choice Requires="wps">
            <w:drawing>
              <wp:anchor distT="0" distB="0" distL="114300" distR="114300" simplePos="0" relativeHeight="251695104" behindDoc="0" locked="0" layoutInCell="1" allowOverlap="1">
                <wp:simplePos x="0" y="0"/>
                <wp:positionH relativeFrom="column">
                  <wp:posOffset>0</wp:posOffset>
                </wp:positionH>
                <wp:positionV relativeFrom="paragraph">
                  <wp:posOffset>53975</wp:posOffset>
                </wp:positionV>
                <wp:extent cx="4679950" cy="0"/>
                <wp:effectExtent l="19050" t="19050" r="25400" b="19050"/>
                <wp:wrapNone/>
                <wp:docPr id="459082397" name="Straight Connector 3"/>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3" o:spid="_x0000_s1035" style="mso-height-percent:0;mso-height-relative:page;mso-width-percent:0;mso-width-relative:margin;mso-wrap-distance-bottom:0;mso-wrap-distance-left:9pt;mso-wrap-distance-right:9pt;mso-wrap-distance-top:0;position:absolute;v-text-anchor:top;z-index:251694080" from="0,4.25pt" to="368.5pt,4.25pt" fillcolor="this" stroked="t" strokecolor="#99b7c4" strokeweight="2.25pt">
                <v:stroke endcap="round"/>
              </v:line>
            </w:pict>
          </mc:Fallback>
        </mc:AlternateContent>
      </w:r>
    </w:p>
    <w:p w:rsidR="00740FE2" w:rsidP="00740FE2" w14:paraId="63CF2EDD" w14:textId="77777777">
      <w:pPr>
        <w:pStyle w:val="Heading12"/>
        <w:rPr>
          <w:b w:val="0"/>
          <w:bCs/>
          <w:color w:val="99B7C4"/>
        </w:rPr>
      </w:pPr>
      <w:r>
        <w:rPr>
          <w:b w:val="0"/>
          <w:bCs/>
          <w:color w:val="99B7C4"/>
        </w:rPr>
        <w:t>Content in this section:</w:t>
      </w:r>
    </w:p>
    <w:p w:rsidR="00740FE2" w:rsidP="00740FE2" w14:paraId="1E45CAD3" w14:textId="77777777">
      <w:pPr>
        <w:pStyle w:val="Heading12"/>
        <w:ind w:left="284"/>
        <w:rPr>
          <w:color w:val="99B7C4"/>
          <w:sz w:val="12"/>
          <w:szCs w:val="12"/>
        </w:rPr>
      </w:pPr>
    </w:p>
    <w:p w:rsidR="00740FE2" w:rsidP="00740FE2" w14:paraId="7682C1C3" w14:textId="77777777">
      <w:pPr>
        <w:pStyle w:val="Heading12"/>
        <w:ind w:left="284"/>
        <w:rPr>
          <w:color w:val="99B7C4"/>
        </w:rPr>
      </w:pPr>
      <w:r w:rsidRPr="00740FE2">
        <w:rPr>
          <w:color w:val="99B7C4"/>
        </w:rPr>
        <w:t>2.1. SEGMENT INFORMATION</w:t>
      </w:r>
    </w:p>
    <w:p w:rsidR="00740FE2" w:rsidP="00740FE2" w14:paraId="11505020" w14:textId="77777777">
      <w:pPr>
        <w:pStyle w:val="Heading12"/>
        <w:ind w:left="284"/>
        <w:rPr>
          <w:color w:val="99B7C4"/>
        </w:rPr>
      </w:pPr>
      <w:r>
        <w:rPr>
          <w:color w:val="99B7C4"/>
        </w:rPr>
        <w:t>2.2. REVENUE RECOGNITION</w:t>
      </w:r>
    </w:p>
    <w:p w:rsidR="00740FE2" w:rsidP="00740FE2" w14:paraId="511E9FE2" w14:textId="77777777">
      <w:pPr>
        <w:pStyle w:val="Heading12"/>
        <w:ind w:left="284"/>
        <w:rPr>
          <w:color w:val="99B7C4"/>
        </w:rPr>
      </w:pPr>
      <w:r>
        <w:rPr>
          <w:color w:val="99B7C4"/>
        </w:rPr>
        <w:t>2.3. OTHER OPERATING INCOME AND EXPENSES</w:t>
      </w:r>
    </w:p>
    <w:p w:rsidR="00740FE2" w:rsidP="00740FE2" w14:paraId="1EE88D27" w14:textId="77777777">
      <w:pPr>
        <w:pStyle w:val="Heading12"/>
        <w:ind w:left="284"/>
        <w:rPr>
          <w:color w:val="99B7C4"/>
        </w:rPr>
      </w:pPr>
      <w:r>
        <w:rPr>
          <w:color w:val="99B7C4"/>
        </w:rPr>
        <w:t>2.4. MATERIAL AND SERVICES</w:t>
      </w:r>
    </w:p>
    <w:p w:rsidR="00740FE2" w:rsidP="00740FE2" w14:paraId="5A7BC1CC" w14:textId="74F35E4F">
      <w:pPr>
        <w:pStyle w:val="Heading12"/>
        <w:ind w:left="284"/>
        <w:rPr>
          <w:color w:val="99B7C4"/>
        </w:rPr>
      </w:pPr>
      <w:r>
        <w:rPr>
          <w:color w:val="99B7C4"/>
        </w:rPr>
        <w:t>2.5. EMPLO</w:t>
      </w:r>
      <w:r>
        <w:rPr>
          <w:color w:val="99B7C4"/>
        </w:rPr>
        <w:t>YEE BENEFIT EXPENSES</w:t>
      </w:r>
    </w:p>
    <w:p w:rsidR="00740FE2" w:rsidP="00740FE2" w14:paraId="58C68487" w14:textId="77777777">
      <w:pPr>
        <w:pStyle w:val="Heading12"/>
        <w:ind w:left="284"/>
        <w:rPr>
          <w:color w:val="99B7C4"/>
        </w:rPr>
      </w:pPr>
      <w:r>
        <w:rPr>
          <w:color w:val="99B7C4"/>
        </w:rPr>
        <w:t>2.6. INCOME TAXES</w:t>
      </w:r>
    </w:p>
    <w:p w:rsidR="00740FE2" w:rsidP="00740FE2" w14:paraId="52D70B94" w14:textId="77777777">
      <w:pPr>
        <w:pStyle w:val="Heading12"/>
        <w:ind w:left="284"/>
        <w:rPr>
          <w:color w:val="99B7C4"/>
        </w:rPr>
      </w:pPr>
      <w:r>
        <w:rPr>
          <w:color w:val="99B7C4"/>
        </w:rPr>
        <w:t xml:space="preserve">2.7. </w:t>
      </w:r>
      <w:r>
        <w:rPr>
          <w:color w:val="99B7C4"/>
        </w:rPr>
        <w:t>EARNINGS PER SHARE</w:t>
      </w:r>
    </w:p>
    <w:p w:rsidR="00740FE2" w:rsidP="00740FE2" w14:paraId="1EE4131F" w14:textId="77777777">
      <w:pPr>
        <w:pStyle w:val="Bodytext2"/>
      </w:pPr>
      <w:r>
        <w:rPr>
          <w:noProof/>
        </w:rPr>
        <mc:AlternateContent>
          <mc:Choice Requires="wps">
            <w:drawing>
              <wp:anchor distT="0" distB="0" distL="114300" distR="114300" simplePos="0" relativeHeight="251680768" behindDoc="0" locked="0" layoutInCell="1" allowOverlap="1">
                <wp:simplePos x="0" y="0"/>
                <wp:positionH relativeFrom="column">
                  <wp:posOffset>0</wp:posOffset>
                </wp:positionH>
                <wp:positionV relativeFrom="paragraph">
                  <wp:posOffset>71755</wp:posOffset>
                </wp:positionV>
                <wp:extent cx="4679950" cy="0"/>
                <wp:effectExtent l="19050" t="19050" r="25400" b="19050"/>
                <wp:wrapNone/>
                <wp:docPr id="482088745" name="Straight Connector 2"/>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2" o:spid="_x0000_s1036" style="mso-height-percent:0;mso-height-relative:page;mso-width-percent:0;mso-width-relative:margin;mso-wrap-distance-bottom:0;mso-wrap-distance-left:9pt;mso-wrap-distance-right:9pt;mso-wrap-distance-top:0;position:absolute;v-text-anchor:top;z-index:251679744" from="0,5.65pt" to="368.5pt,5.65pt" fillcolor="this" stroked="t" strokecolor="#99b7c4" strokeweight="2.25pt">
                <v:stroke endcap="round"/>
              </v:line>
            </w:pict>
          </mc:Fallback>
        </mc:AlternateContent>
      </w:r>
    </w:p>
    <w:p w:rsidR="00740FE2" w:rsidRPr="00740FE2" w:rsidP="002E3157" w14:paraId="2EBE4462" w14:textId="77777777">
      <w:pPr>
        <w:pStyle w:val="Bodytext2"/>
      </w:pPr>
    </w:p>
    <w:p w:rsidR="002E3157" w:rsidP="002E3157" w14:paraId="54523F50" w14:textId="77777777">
      <w:pPr>
        <w:pStyle w:val="Bodytext2"/>
      </w:pPr>
      <w:bookmarkStart w:id="1456" w:name="_Hlk94097266"/>
    </w:p>
    <w:p w:rsidR="00184773" w:rsidP="00184773" w14:paraId="7253C67D" w14:textId="77777777">
      <w:pPr>
        <w:pStyle w:val="Heading12"/>
      </w:pPr>
      <w:r>
        <w:t>2.1. SEGMENT INFORMATION</w:t>
      </w:r>
    </w:p>
    <w:p w:rsidR="00745CC9" w:rsidRPr="00745CC9" w:rsidP="00745CC9" w14:paraId="12F28EDE" w14:textId="77777777">
      <w:pPr>
        <w:pStyle w:val="Bodytext2"/>
      </w:pPr>
      <w:bookmarkEnd w:id="1456"/>
      <w:r w:rsidRPr="0082555F">
        <w:t>Wärtsilä’s</w:t>
      </w:r>
      <w:r w:rsidRPr="0082555F">
        <w:t xml:space="preserve"> reportable segments are Wärtsilä Marine Power, Wärtsilä Marine Systems, Wärtsilä Voyage, and Wärtsilä Energy. Furthermore, Wärtsilä reports Wärtsilä Portfolio Business as other business activities.</w:t>
      </w:r>
      <w:r w:rsidRPr="0082555F">
        <w:t xml:space="preserve"> </w:t>
      </w:r>
      <w:r w:rsidRPr="0056485C" w:rsidR="001C4CC7">
        <w:t>The segments and other business activities cover both equipment sales and services for the respective business.</w:t>
      </w:r>
    </w:p>
    <w:p w:rsidR="00745CC9" w:rsidRPr="00745CC9" w:rsidP="00745CC9" w14:paraId="7E5F8C06" w14:textId="77777777">
      <w:pPr>
        <w:pStyle w:val="Bodytext2"/>
      </w:pPr>
    </w:p>
    <w:p w:rsidR="00745CC9" w:rsidRPr="00745CC9" w:rsidP="00745CC9" w14:paraId="328BB6EB" w14:textId="77777777">
      <w:pPr>
        <w:pStyle w:val="Bodytext2"/>
      </w:pPr>
      <w:r w:rsidRPr="00745CC9">
        <w:t>Wärtsilä's</w:t>
      </w:r>
      <w:r w:rsidRPr="00745CC9">
        <w:t xml:space="preserve"> highest operative decision maker (CODM, Chief Operating Decision Maker) is the President and CEO, with the support of the Board of </w:t>
      </w:r>
      <w:r w:rsidRPr="00745CC9">
        <w:t>Management, and in some cases the Board of Directors.</w:t>
      </w:r>
    </w:p>
    <w:p w:rsidR="00745CC9" w:rsidRPr="00745CC9" w:rsidP="00745CC9" w14:paraId="34F52F36" w14:textId="77777777">
      <w:pPr>
        <w:pStyle w:val="Bodytext2"/>
      </w:pPr>
    </w:p>
    <w:p w:rsidR="00745CC9" w:rsidRPr="00745CC9" w:rsidP="00745CC9" w14:paraId="3D20FC4A" w14:textId="77777777">
      <w:pPr>
        <w:pStyle w:val="Bodytext2"/>
      </w:pPr>
      <w:r w:rsidRPr="00745CC9">
        <w:t>Marine Power, Marine Systems, Voyage, Energy, and Portfolio Business are each led by their President. Discrete financial information for each business is provided to the CODM to support decision-making</w:t>
      </w:r>
      <w:r w:rsidRPr="00745CC9">
        <w:t>. The segment information presented by Wärtsilä reflects internal management reporting. Segment information is reported to the level of operating result, as items below operating result are not allocated to the business</w:t>
      </w:r>
      <w:r w:rsidR="00A53AA9">
        <w:t>es.</w:t>
      </w:r>
    </w:p>
    <w:p w:rsidR="00745CC9" w:rsidRPr="00745CC9" w:rsidP="00745CC9" w14:paraId="357B7C46" w14:textId="77777777">
      <w:pPr>
        <w:pStyle w:val="Bodytext2"/>
      </w:pPr>
    </w:p>
    <w:p w:rsidR="00745CC9" w:rsidP="00745CC9" w14:paraId="5D5B57A7" w14:textId="77777777">
      <w:pPr>
        <w:pStyle w:val="Bodytext2"/>
      </w:pPr>
      <w:r w:rsidRPr="00745CC9">
        <w:t xml:space="preserve">Internal sales between segments </w:t>
      </w:r>
      <w:r w:rsidRPr="00745CC9">
        <w:t>and other business activities are not reported in management reporting, but revenue and costs of sales are booked directly to the respective customer projects and orders. The main factors affecting the allocation of indirect and administration costs to the</w:t>
      </w:r>
      <w:r w:rsidRPr="00745CC9">
        <w:t xml:space="preserve"> segments and other business activities are net sales and the number of personnel. Management considers these allocation principles to be the most suitable means for reflecting the costs carried by each segment and other business activities. The allocation</w:t>
      </w:r>
      <w:r w:rsidRPr="00745CC9">
        <w:t xml:space="preserve"> principles are reviewed regularly.</w:t>
      </w:r>
    </w:p>
    <w:p w:rsidR="004850B4" w:rsidP="00745CC9" w14:paraId="143E93C9" w14:textId="77777777">
      <w:pPr>
        <w:pStyle w:val="Bodytext2"/>
      </w:pPr>
    </w:p>
    <w:p w:rsidR="004850B4" w:rsidP="00745CC9" w14:paraId="3FB851FF" w14:textId="77777777">
      <w:pPr>
        <w:pStyle w:val="Bodytext2"/>
      </w:pPr>
      <w:r w:rsidRPr="00CF3795">
        <w:t>Wärtsilä’s</w:t>
      </w:r>
      <w:r w:rsidRPr="00CF3795">
        <w:t xml:space="preserve"> purpose is to enable sustainable societies through innovation in technology and services. The demand for clean and flexible energy, and the need for efficient and safe transportation are increasingly affectin</w:t>
      </w:r>
      <w:r w:rsidRPr="00CF3795">
        <w:t xml:space="preserve">g the way that customers operate. This forms the basis for </w:t>
      </w:r>
      <w:r w:rsidRPr="00CF3795">
        <w:t>Wärtsilä’s</w:t>
      </w:r>
      <w:r w:rsidRPr="00CF3795">
        <w:t xml:space="preserve"> Smart Marine and Smart Energy visions.</w:t>
      </w:r>
    </w:p>
    <w:p w:rsidR="004A2528" w:rsidP="00745CC9" w14:paraId="1D2E8485" w14:textId="77777777">
      <w:pPr>
        <w:pStyle w:val="Bodytext2"/>
      </w:pPr>
    </w:p>
    <w:p w:rsidR="004A2528" w:rsidP="00745CC9" w14:paraId="1C9EB6D7" w14:textId="77777777">
      <w:pPr>
        <w:pStyle w:val="Bodytext2"/>
      </w:pPr>
      <w:r w:rsidRPr="00FF394C">
        <w:t xml:space="preserve">The aim of Wärtsilä is to lead the maritime industry’s transformation towards a Smart Marine Ecosystem. Building on the sound foundation of being </w:t>
      </w:r>
      <w:r w:rsidRPr="00FF394C">
        <w:t xml:space="preserve">a leading provider of innovative products, integrated solutions, and lifecycle services to the marine and oil &amp; gas industries, Wärtsilä delivers new sources of value to customers through connectivity, </w:t>
      </w:r>
      <w:r w:rsidRPr="00FF394C">
        <w:t>digitalisation</w:t>
      </w:r>
      <w:r w:rsidRPr="00FF394C">
        <w:t>, and the use of smart technologies.</w:t>
      </w:r>
    </w:p>
    <w:p w:rsidR="00745CC9" w:rsidRPr="00745CC9" w:rsidP="00745CC9" w14:paraId="0FD90563" w14:textId="77777777">
      <w:pPr>
        <w:pStyle w:val="Bodytext2"/>
      </w:pPr>
    </w:p>
    <w:p w:rsidR="00CF7FF3" w:rsidP="00745CC9" w14:paraId="13B0720C" w14:textId="77777777">
      <w:pPr>
        <w:pStyle w:val="Bodytext2"/>
      </w:pPr>
      <w:r w:rsidRPr="00745CC9">
        <w:t>Wärtsilä’s</w:t>
      </w:r>
      <w:r w:rsidRPr="00745CC9">
        <w:t xml:space="preserve"> marine customer base covers all the main vessel segments, including traditional merchant vessels, gas carriers, cruise &amp; ferry, navy, and special vessels. In the oil &amp; gas industry, Wärtsilä is active in serving offshore installations and relate</w:t>
      </w:r>
      <w:r w:rsidRPr="00745CC9">
        <w:t xml:space="preserve">d industry vessels, as well as land-based gas installations. </w:t>
      </w:r>
      <w:r w:rsidRPr="00745CC9">
        <w:t>Wärtsilä’s</w:t>
      </w:r>
      <w:r w:rsidRPr="00745CC9">
        <w:t xml:space="preserve"> customers comprise ship owners, shipyards, and ship management companies.</w:t>
      </w:r>
    </w:p>
    <w:p w:rsidR="001C4CC7" w:rsidP="00745CC9" w14:paraId="7313E9FB" w14:textId="77777777">
      <w:pPr>
        <w:pStyle w:val="Bodytext2"/>
      </w:pPr>
    </w:p>
    <w:p w:rsidR="00B5562D" w:rsidP="00745CC9" w14:paraId="5E044827" w14:textId="77777777">
      <w:pPr>
        <w:pStyle w:val="Bodytext2"/>
      </w:pPr>
      <w:r w:rsidRPr="005002A0">
        <w:t>The energy landscape is in transition towards more flexible and sustainable energy systems, driven by the dec</w:t>
      </w:r>
      <w:r w:rsidRPr="005002A0">
        <w:t xml:space="preserve">reasing cost of new technologies. </w:t>
      </w:r>
      <w:r w:rsidRPr="005002A0">
        <w:t>Wärtsilä’s</w:t>
      </w:r>
      <w:r w:rsidRPr="005002A0">
        <w:t xml:space="preserve"> objective is to be its customers’ most trusted partner in unlocking the value of an </w:t>
      </w:r>
      <w:r w:rsidRPr="005002A0">
        <w:t>optimised</w:t>
      </w:r>
      <w:r w:rsidRPr="005002A0">
        <w:t xml:space="preserve"> energy transition by providing essential technologies, services, and solutions for sustainable, reliable, and afforda</w:t>
      </w:r>
      <w:r w:rsidRPr="005002A0">
        <w:t>ble power systems.</w:t>
      </w:r>
    </w:p>
    <w:p w:rsidR="001C4CC7" w:rsidRPr="001C4CC7" w:rsidP="00745CC9" w14:paraId="6550F7AD" w14:textId="77777777">
      <w:pPr>
        <w:pStyle w:val="Bodytext2"/>
      </w:pPr>
    </w:p>
    <w:p w:rsidR="00745CC9" w:rsidRPr="00745CC9" w:rsidP="00745CC9" w14:paraId="6E3A9D2F" w14:textId="77777777">
      <w:pPr>
        <w:pStyle w:val="Heading13"/>
      </w:pPr>
      <w:r>
        <w:t xml:space="preserve">Wärtsilä </w:t>
      </w:r>
      <w:r w:rsidRPr="00745CC9" w:rsidR="00B45B52">
        <w:t>Marine Power</w:t>
      </w:r>
    </w:p>
    <w:p w:rsidR="00745CC9" w:rsidRPr="00745CC9" w:rsidP="00745CC9" w14:paraId="59ACFF25" w14:textId="77777777">
      <w:pPr>
        <w:pStyle w:val="Bodytext2"/>
      </w:pPr>
      <w:r w:rsidRPr="00745CC9">
        <w:t xml:space="preserve">Marine Power focuses on </w:t>
      </w:r>
      <w:r w:rsidRPr="00745CC9">
        <w:t>Wärtsilä’s</w:t>
      </w:r>
      <w:r w:rsidRPr="00745CC9">
        <w:t xml:space="preserve"> comprehensive range of engine and propulsion solutions. Its offering</w:t>
      </w:r>
      <w:r w:rsidR="00091A0D">
        <w:t>, which includes</w:t>
      </w:r>
      <w:r w:rsidRPr="00745CC9">
        <w:t xml:space="preserve"> engines, generating sets, gearboxes, propulsion equipment, as well as LNG fuel handling, power</w:t>
      </w:r>
      <w:r w:rsidRPr="00745CC9">
        <w:t xml:space="preserve"> management, and NOx reduction technologies</w:t>
      </w:r>
      <w:r w:rsidR="00091A0D">
        <w:t xml:space="preserve">, </w:t>
      </w:r>
      <w:r w:rsidRPr="00745CC9">
        <w:t xml:space="preserve">positions Marine Power as a leading partner for its customers in the </w:t>
      </w:r>
      <w:r w:rsidRPr="00745CC9">
        <w:t>decarbonisation</w:t>
      </w:r>
      <w:r w:rsidRPr="00745CC9">
        <w:t xml:space="preserve"> of the maritime industry, particularly through fuel flexibility and hybrid solutions.</w:t>
      </w:r>
    </w:p>
    <w:p w:rsidR="00745CC9" w:rsidRPr="00745CC9" w:rsidP="00745CC9" w14:paraId="5CC51E02" w14:textId="77777777">
      <w:pPr>
        <w:pStyle w:val="Bodytext2"/>
      </w:pPr>
    </w:p>
    <w:p w:rsidR="00745CC9" w:rsidRPr="00745CC9" w:rsidP="00745CC9" w14:paraId="111D1E54" w14:textId="77777777">
      <w:pPr>
        <w:pStyle w:val="Bodytext2"/>
      </w:pPr>
      <w:r w:rsidRPr="00745CC9">
        <w:t>Marine Power has six business units: Po</w:t>
      </w:r>
      <w:r w:rsidRPr="00745CC9">
        <w:t>wer Supply, Propulsion, Parts, Performance, Projects, and Field Services &amp; Workshops. The Marine Power setup has been specifically designed to support its customers throughout the entire lifecycle of their vessels: from designing, developing, and deliverin</w:t>
      </w:r>
      <w:r w:rsidRPr="00745CC9">
        <w:t xml:space="preserve">g high quality products and solutions that ensure superior performance and </w:t>
      </w:r>
      <w:r w:rsidR="00091A0D">
        <w:t xml:space="preserve">that </w:t>
      </w:r>
      <w:r w:rsidRPr="00745CC9">
        <w:t>are capable of meeting evolving environmental requirements, to assisting customers with a wide service network supplying spare parts, competent field service personnel, and pro</w:t>
      </w:r>
      <w:r w:rsidRPr="00745CC9">
        <w:t>duct and solution upgrades, as well as reducing operational risk.</w:t>
      </w:r>
    </w:p>
    <w:p w:rsidR="00745CC9" w:rsidRPr="00745CC9" w:rsidP="00745CC9" w14:paraId="252129B3" w14:textId="77777777">
      <w:pPr>
        <w:pStyle w:val="Bodytext2"/>
      </w:pPr>
    </w:p>
    <w:p w:rsidR="00745CC9" w:rsidRPr="00745CC9" w:rsidP="00745CC9" w14:paraId="04497FD0" w14:textId="77777777">
      <w:pPr>
        <w:pStyle w:val="Heading13"/>
      </w:pPr>
      <w:r>
        <w:t xml:space="preserve">Wärtsilä </w:t>
      </w:r>
      <w:r w:rsidRPr="00745CC9" w:rsidR="00B45B52">
        <w:t>Marine Systems</w:t>
      </w:r>
    </w:p>
    <w:p w:rsidR="00745CC9" w:rsidRPr="00745CC9" w:rsidP="00745CC9" w14:paraId="12B9027E" w14:textId="77777777">
      <w:pPr>
        <w:pStyle w:val="Bodytext2"/>
      </w:pPr>
      <w:r w:rsidRPr="00745CC9">
        <w:t>Marine Systems consists of four end-to-end business units: Exhaust Treatment, Gas Solutions, Marine Electrical Systems, and Shaft Line Solutions.</w:t>
      </w:r>
    </w:p>
    <w:p w:rsidR="00745CC9" w:rsidRPr="00745CC9" w:rsidP="00745CC9" w14:paraId="5EA14A87" w14:textId="77777777">
      <w:pPr>
        <w:pStyle w:val="Bodytext2"/>
      </w:pPr>
    </w:p>
    <w:p w:rsidR="00745CC9" w:rsidRPr="00745CC9" w:rsidP="00745CC9" w14:paraId="6CB50411" w14:textId="77777777">
      <w:pPr>
        <w:pStyle w:val="Bodytext2"/>
      </w:pPr>
      <w:r w:rsidRPr="00745CC9">
        <w:t xml:space="preserve">Exhaust </w:t>
      </w:r>
      <w:r w:rsidRPr="00745CC9">
        <w:t xml:space="preserve">Treatment focuses on developing the exhaust gas cleaning business. </w:t>
      </w:r>
      <w:r w:rsidRPr="00745CC9">
        <w:t>Wärtsilä’s</w:t>
      </w:r>
      <w:r w:rsidRPr="00745CC9">
        <w:t xml:space="preserve"> exhaust gas cleaning technology is an economical and environmentally friendly solution for</w:t>
      </w:r>
      <w:r w:rsidR="00091A0D">
        <w:t xml:space="preserve"> addressing </w:t>
      </w:r>
      <w:r w:rsidRPr="00745CC9">
        <w:t>all existing</w:t>
      </w:r>
      <w:r w:rsidR="00091A0D">
        <w:t xml:space="preserve"> and anticipated</w:t>
      </w:r>
      <w:r w:rsidRPr="00745CC9">
        <w:t xml:space="preserve"> rules and regulations. Wärtsilä scrubber system</w:t>
      </w:r>
      <w:r w:rsidRPr="00745CC9">
        <w:t>s are designed to provide flexibility and reliable operations wherever customers operate.</w:t>
      </w:r>
    </w:p>
    <w:p w:rsidR="00745CC9" w:rsidRPr="00745CC9" w:rsidP="00745CC9" w14:paraId="7769F702" w14:textId="77777777">
      <w:pPr>
        <w:pStyle w:val="Bodytext2"/>
      </w:pPr>
    </w:p>
    <w:p w:rsidR="00745CC9" w:rsidRPr="00745CC9" w:rsidP="00745CC9" w14:paraId="37360B3A" w14:textId="77777777">
      <w:pPr>
        <w:pStyle w:val="Bodytext2"/>
      </w:pPr>
      <w:r w:rsidRPr="00745CC9">
        <w:t xml:space="preserve">Gas Solutions is the leading technology and service provider for the gas value chain, with a </w:t>
      </w:r>
      <w:r w:rsidR="00091A0D">
        <w:t>broad</w:t>
      </w:r>
      <w:r w:rsidRPr="00745CC9">
        <w:t xml:space="preserve"> range of products covering cargo handling systems for gas carriers</w:t>
      </w:r>
      <w:r w:rsidRPr="00745CC9">
        <w:t>, liquefaction and gasification systems for various applications, fuel systems for alternative engine configurations and fuels, and renewable gas systems with solutions for biogas upgrading and liquefaction.</w:t>
      </w:r>
    </w:p>
    <w:p w:rsidR="00745CC9" w:rsidRPr="00745CC9" w:rsidP="00745CC9" w14:paraId="2F598185" w14:textId="77777777">
      <w:pPr>
        <w:pStyle w:val="Bodytext2"/>
      </w:pPr>
    </w:p>
    <w:p w:rsidR="00745CC9" w:rsidP="00745CC9" w14:paraId="17CA8FCE" w14:textId="77777777">
      <w:pPr>
        <w:pStyle w:val="Bodytext2"/>
      </w:pPr>
      <w:r w:rsidRPr="00745CC9">
        <w:t xml:space="preserve">Marine Electrical Systems offers comprehensive </w:t>
      </w:r>
      <w:r w:rsidRPr="00745CC9">
        <w:t>electrical turnkey solutions to selected niche segments</w:t>
      </w:r>
      <w:r>
        <w:t>,</w:t>
      </w:r>
      <w:r w:rsidRPr="00745CC9">
        <w:t xml:space="preserve"> such as navy and super yachts, assuming responsibility for the entire project from basic design to commissioning.</w:t>
      </w:r>
    </w:p>
    <w:p w:rsidR="0017390C" w:rsidRPr="00745CC9" w:rsidP="00745CC9" w14:paraId="50FB860F" w14:textId="77777777">
      <w:pPr>
        <w:pStyle w:val="Bodytext2"/>
      </w:pPr>
    </w:p>
    <w:p w:rsidR="002B78E7" w:rsidP="002B78E7" w14:paraId="5C52DE71" w14:textId="77777777">
      <w:pPr>
        <w:pStyle w:val="Bodytext2"/>
      </w:pPr>
      <w:r w:rsidRPr="00745CC9">
        <w:t>Shaft Line Solutions (formerly Seals &amp; Bearings) comprises all capabilities required</w:t>
      </w:r>
      <w:r w:rsidRPr="00745CC9">
        <w:t xml:space="preserve"> to provide complete integrated shaft line solutions from its global factories and service locations to customers in its core market segments, namely navy, merchant, and cruise.</w:t>
      </w:r>
    </w:p>
    <w:p w:rsidR="002B78E7" w:rsidP="002B78E7" w14:paraId="722C6B97" w14:textId="77777777">
      <w:pPr>
        <w:pStyle w:val="Bodytext2"/>
      </w:pPr>
    </w:p>
    <w:p w:rsidR="00745CC9" w:rsidRPr="00745CC9" w:rsidP="002B78E7" w14:paraId="2D287831" w14:textId="77777777">
      <w:pPr>
        <w:pStyle w:val="Heading13"/>
      </w:pPr>
      <w:r>
        <w:t xml:space="preserve">Wärtsilä </w:t>
      </w:r>
      <w:r w:rsidRPr="00745CC9" w:rsidR="00B45B52">
        <w:t>Voyage</w:t>
      </w:r>
    </w:p>
    <w:p w:rsidR="00745CC9" w:rsidRPr="00745CC9" w:rsidP="00745CC9" w14:paraId="0497BEDB" w14:textId="77777777">
      <w:pPr>
        <w:pStyle w:val="Bodytext2"/>
      </w:pPr>
      <w:r w:rsidRPr="00745CC9">
        <w:t>Voyage helps transform the way vessels perform their voyage b</w:t>
      </w:r>
      <w:r w:rsidRPr="00745CC9">
        <w:t xml:space="preserve">y leveraging the latest digital technologies to deliver a step-change in safety, efficiency, reliability, and emissions. By combining bridge systems, cloud data management, data services, decision support tools, and access to real-time information, Voyage </w:t>
      </w:r>
      <w:r w:rsidRPr="00745CC9">
        <w:t>collaborates in creating the digital ecosystem of the future. Voyage has one of the largest installed bases and offerings of navigation, automation, simulation, and training solutions, a</w:t>
      </w:r>
      <w:r w:rsidR="00091A0D">
        <w:t>nd</w:t>
      </w:r>
      <w:r w:rsidRPr="00745CC9">
        <w:t xml:space="preserve"> ship traffic control solutions.</w:t>
      </w:r>
    </w:p>
    <w:p w:rsidR="00745CC9" w:rsidRPr="00745CC9" w:rsidP="00745CC9" w14:paraId="4C817CDF" w14:textId="77777777">
      <w:pPr>
        <w:pStyle w:val="Bodytext2"/>
      </w:pPr>
    </w:p>
    <w:p w:rsidR="00745CC9" w:rsidRPr="00745CC9" w:rsidP="00745CC9" w14:paraId="1EA06263" w14:textId="77777777">
      <w:pPr>
        <w:pStyle w:val="Bodytext2"/>
      </w:pPr>
      <w:r w:rsidRPr="00745CC9">
        <w:t>Serving the key market segments ac</w:t>
      </w:r>
      <w:r w:rsidRPr="00745CC9">
        <w:t>ross cruise, ferry, merchant, navy, and non-vessel related segments, such as port authorities and maritime institutes, Voyage is active in both the newbuild and existing vessel markets. Voyage executes a growth strategy based on innovative product developm</w:t>
      </w:r>
      <w:r w:rsidRPr="00745CC9">
        <w:t>ent, system integration, connectivity, remote operations, and cyber security, in line with the development of a Smart Marine Ecosystem.</w:t>
      </w:r>
    </w:p>
    <w:p w:rsidR="00745CC9" w:rsidRPr="00745CC9" w:rsidP="00745CC9" w14:paraId="09EB2E9C" w14:textId="77777777">
      <w:pPr>
        <w:pStyle w:val="Bodytext2"/>
      </w:pPr>
    </w:p>
    <w:p w:rsidR="00745CC9" w:rsidRPr="00745CC9" w:rsidP="00745CC9" w14:paraId="1E67C475" w14:textId="77777777">
      <w:pPr>
        <w:pStyle w:val="Heading13"/>
      </w:pPr>
      <w:r>
        <w:t xml:space="preserve">Wärtsilä </w:t>
      </w:r>
      <w:r w:rsidRPr="00745CC9" w:rsidR="00B45B52">
        <w:t>Energy</w:t>
      </w:r>
    </w:p>
    <w:p w:rsidR="00745CC9" w:rsidRPr="00745CC9" w:rsidP="00745CC9" w14:paraId="0DE86F4F" w14:textId="77777777">
      <w:pPr>
        <w:pStyle w:val="Bodytext2"/>
      </w:pPr>
      <w:r w:rsidRPr="00745CC9">
        <w:t>Wärtsilä’s</w:t>
      </w:r>
      <w:r w:rsidRPr="00745CC9">
        <w:t xml:space="preserve"> offering comprises flexible power plants, energy management and storage systems, as well as </w:t>
      </w:r>
      <w:r w:rsidRPr="00745CC9">
        <w:t>lifecycle services that enable increased efficiency and guaranteed performance.</w:t>
      </w:r>
    </w:p>
    <w:p w:rsidR="00745CC9" w:rsidRPr="00745CC9" w:rsidP="00745CC9" w14:paraId="2902E305" w14:textId="77777777">
      <w:pPr>
        <w:pStyle w:val="Bodytext2"/>
      </w:pPr>
    </w:p>
    <w:p w:rsidR="00745CC9" w:rsidRPr="00745CC9" w:rsidP="00745CC9" w14:paraId="6ECC0EEE" w14:textId="77777777">
      <w:pPr>
        <w:pStyle w:val="Bodytext2"/>
      </w:pPr>
      <w:r w:rsidRPr="00745CC9">
        <w:t>Wärtsilä’s</w:t>
      </w:r>
      <w:r w:rsidRPr="00745CC9">
        <w:t xml:space="preserve"> three main customer segments in the energy markets are utilities, independent power producers, and industrial customers. </w:t>
      </w:r>
      <w:r w:rsidRPr="00745CC9">
        <w:t>Wärtsilä’s</w:t>
      </w:r>
      <w:r w:rsidRPr="00745CC9">
        <w:t xml:space="preserve"> energy solutions are used for a </w:t>
      </w:r>
      <w:r w:rsidRPr="00745CC9">
        <w:t>wide variety of applications. These include baseload generation, capacity for grid stability, peaking and load-following generation, and for the integration of wind and solar power. Wärtsilä provides its customers with a comprehensive understanding of ener</w:t>
      </w:r>
      <w:r w:rsidRPr="00745CC9">
        <w:t>gy systems, including fully integrated assets and software, complete with value adding lifecycle services.</w:t>
      </w:r>
    </w:p>
    <w:p w:rsidR="00745CC9" w:rsidRPr="00745CC9" w:rsidP="00745CC9" w14:paraId="2565B1AE" w14:textId="77777777">
      <w:pPr>
        <w:pStyle w:val="Bodytext2"/>
      </w:pPr>
    </w:p>
    <w:p w:rsidR="00745CC9" w:rsidRPr="00745CC9" w:rsidP="00745CC9" w14:paraId="495E255F" w14:textId="77777777">
      <w:pPr>
        <w:pStyle w:val="Heading13"/>
      </w:pPr>
      <w:r>
        <w:t xml:space="preserve">Wärtsilä </w:t>
      </w:r>
      <w:r w:rsidRPr="00745CC9" w:rsidR="00B45B52">
        <w:t>Portfolio Business</w:t>
      </w:r>
    </w:p>
    <w:p w:rsidR="00A53AA9" w:rsidP="00745CC9" w14:paraId="3BCC7A17" w14:textId="77777777">
      <w:pPr>
        <w:pStyle w:val="Bodytext2"/>
      </w:pPr>
      <w:r w:rsidRPr="00745CC9">
        <w:t>Wärtsilä reports Portfolio Business as other business activities.</w:t>
      </w:r>
    </w:p>
    <w:p w:rsidR="00601320" w:rsidP="00745CC9" w14:paraId="2E749042" w14:textId="77777777">
      <w:pPr>
        <w:pStyle w:val="Bodytext2"/>
      </w:pPr>
    </w:p>
    <w:p w:rsidR="006439B0" w:rsidP="00A53AA9" w14:paraId="48CF0DE4" w14:textId="77777777">
      <w:pPr>
        <w:pStyle w:val="Bodytext2"/>
      </w:pPr>
      <w:r w:rsidRPr="00A53AA9">
        <w:t>Portfolio Business consists of multiple business unit</w:t>
      </w:r>
      <w:r w:rsidRPr="00A53AA9">
        <w:t>s, which are run independently with the aim of accelerating</w:t>
      </w:r>
      <w:r w:rsidR="00601320">
        <w:t xml:space="preserve"> </w:t>
      </w:r>
      <w:r w:rsidRPr="00A53AA9">
        <w:t>performance improvement and unlocking value through divestments or other strategic alternatives</w:t>
      </w:r>
      <w:r w:rsidRPr="005002A0">
        <w:t xml:space="preserve">. The </w:t>
      </w:r>
      <w:r w:rsidRPr="005002A0">
        <w:t xml:space="preserve">business units included in Portfolio Business comprise Tank Control Systems, Water &amp; Waste, as </w:t>
      </w:r>
      <w:r w:rsidRPr="005002A0">
        <w:t>well as American Hydro, the hydropower solution and turbine service business.</w:t>
      </w:r>
    </w:p>
    <w:p w:rsidR="006439B0" w:rsidP="00A53AA9" w14:paraId="4A54BC78" w14:textId="77777777">
      <w:pPr>
        <w:pStyle w:val="Bodytext2"/>
      </w:pPr>
    </w:p>
    <w:p w:rsidR="006439B0" w:rsidP="00A53AA9" w14:paraId="2FCF1CDD" w14:textId="77777777">
      <w:pPr>
        <w:pStyle w:val="Bodytext2"/>
      </w:pPr>
      <w:r w:rsidRPr="005002A0">
        <w:t xml:space="preserve">Portfolio Business also included business units Entertainment Systems and Special Products until the divestments. In April 2021, Wärtsilä divested 100% of the shares in its Entertainment Systems business unit, Wärtsilä </w:t>
      </w:r>
      <w:r w:rsidRPr="005002A0">
        <w:t>Funa</w:t>
      </w:r>
      <w:r w:rsidRPr="005002A0">
        <w:t xml:space="preserve"> GmbH. In July 2021, Wärtsilä div</w:t>
      </w:r>
      <w:r w:rsidRPr="005002A0">
        <w:t>ested 100% of the shares in Wärtsilä EUROATLAS GmbH, which belonged to Special Products business unit.</w:t>
      </w:r>
    </w:p>
    <w:p w:rsidR="00184773" w:rsidP="00184773" w14:paraId="379318E3" w14:textId="77777777">
      <w:pPr>
        <w:pStyle w:val="Bodytext2"/>
        <w:rPr>
          <w:sz w:val="2"/>
          <w:szCs w:val="2"/>
        </w:rPr>
      </w:pPr>
    </w:p>
    <w:p w:rsidR="002B78E7" w:rsidP="00FE7339" w14:paraId="212E84B3" w14:textId="77777777">
      <w:pPr>
        <w:pStyle w:val="Heading13"/>
      </w:pPr>
    </w:p>
    <w:p w:rsidR="00FE7339" w:rsidP="00FE7339" w14:paraId="10A57E67" w14:textId="77777777">
      <w:pPr>
        <w:pStyle w:val="Heading13"/>
      </w:pPr>
      <w:r>
        <w:t>2021</w:t>
      </w:r>
    </w:p>
    <w:p w:rsidR="00FE7339" w:rsidP="00184773" w14:paraId="37EEF1D0" w14:textId="77777777">
      <w:pPr>
        <w:pStyle w:val="Bodytext2"/>
        <w:rPr>
          <w:szCs w:val="15"/>
        </w:rPr>
      </w:pPr>
    </w:p>
    <w:tbl>
      <w:tblPr>
        <w:tblStyle w:val="TableNormal"/>
        <w:tblCaption w:val="Table_segment_information_cur"/>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Power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Marine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Systems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Voyage</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Energy</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Portfolio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Business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Net sales</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1,863</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654</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279</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1,861</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121</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4,778</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Depreciation, amortisation and impairment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Share of result of associates and joint ventures</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Operating result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134</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 a percentage of net sales (%)</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Comparable operating result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357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 a percentage of net sales (%)</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-9.9</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7.5</w:t>
            </w:r>
          </w:p>
        </w:tc>
      </w:tr>
    </w:tbl>
    <w:p w:rsidR="00FE7339" w:rsidP="00184773" w14:paraId="20F0B2AA" w14:textId="77777777">
      <w:pPr>
        <w:pStyle w:val="Bodytext2"/>
        <w:rPr>
          <w:szCs w:val="15"/>
        </w:rPr>
      </w:pPr>
    </w:p>
    <w:p w:rsidR="00FE7339" w:rsidP="00FE7339" w14:paraId="4D02F834" w14:textId="77777777">
      <w:pPr>
        <w:pStyle w:val="Heading13"/>
      </w:pPr>
      <w:r>
        <w:t>2020</w:t>
      </w:r>
    </w:p>
    <w:p w:rsidR="00FE7339" w:rsidP="00184773" w14:paraId="05F8B192" w14:textId="77777777">
      <w:pPr>
        <w:pStyle w:val="Bodytext2"/>
        <w:rPr>
          <w:szCs w:val="15"/>
        </w:rPr>
      </w:pPr>
    </w:p>
    <w:tbl>
      <w:tblPr>
        <w:tblStyle w:val="TableNormal"/>
        <w:tblCaption w:val="Table_segment_information_pre"/>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Power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Marine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Systems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Voyage</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Energy</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Portfolio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Business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Net sales</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1,748</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808</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248</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1,620</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181</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4,604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Depreciation, amortisation and impairment</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-68</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Share of result of associates and joint ventures</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Operating result</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134</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 a percentage of net sales (%)</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7.7</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Comparable operating result</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137</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 a percentage of net sales (%)</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7.8</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6.0</w:t>
            </w:r>
          </w:p>
        </w:tc>
      </w:tr>
    </w:tbl>
    <w:p w:rsidR="002B78E7" w:rsidP="002B78E7" w14:paraId="30C0D6E0" w14:textId="77777777">
      <w:pPr>
        <w:pStyle w:val="Bodytext2"/>
        <w:rPr>
          <w:sz w:val="2"/>
          <w:szCs w:val="2"/>
        </w:rPr>
      </w:pPr>
      <w:r>
        <w:rPr>
          <w:szCs w:val="15"/>
        </w:rPr>
        <w:br w:type="column"/>
      </w:r>
    </w:p>
    <w:p w:rsidR="00184773" w:rsidRPr="002B78E7" w:rsidP="002B78E7" w14:paraId="710028FD" w14:textId="77777777">
      <w:pPr>
        <w:pStyle w:val="Bodytext2"/>
        <w:rPr>
          <w:szCs w:val="15"/>
        </w:rPr>
      </w:pPr>
      <w:r w:rsidRPr="002B78E7">
        <w:rPr>
          <w:rStyle w:val="Heading13Char"/>
        </w:rPr>
        <w:t>Alternative performance measures</w:t>
      </w:r>
    </w:p>
    <w:p w:rsidR="00184773" w:rsidP="00184773" w14:paraId="2E31550B" w14:textId="77777777">
      <w:pPr>
        <w:pStyle w:val="Bodytext2"/>
        <w:rPr>
          <w:szCs w:val="15"/>
        </w:rPr>
      </w:pPr>
      <w:r>
        <w:rPr>
          <w:szCs w:val="15"/>
        </w:rPr>
        <w:t>Wärtsilä provides certain financial performance measures, which are not defined by IFRS. These alternative performance measures are followed and used by management to measure the Group's performance and financial position</w:t>
      </w:r>
      <w:r w:rsidR="00091A0D">
        <w:rPr>
          <w:szCs w:val="15"/>
        </w:rPr>
        <w:t xml:space="preserve">, and </w:t>
      </w:r>
      <w:r>
        <w:rPr>
          <w:szCs w:val="15"/>
        </w:rPr>
        <w:t>also to provide useful inform</w:t>
      </w:r>
      <w:r>
        <w:rPr>
          <w:szCs w:val="15"/>
        </w:rPr>
        <w:t>ation to the capital markets.</w:t>
      </w:r>
    </w:p>
    <w:p w:rsidR="00184773" w:rsidP="00184773" w14:paraId="35984676" w14:textId="77777777">
      <w:pPr>
        <w:pStyle w:val="Bodytext2"/>
        <w:rPr>
          <w:szCs w:val="15"/>
        </w:rPr>
      </w:pPr>
    </w:p>
    <w:p w:rsidR="00184773" w:rsidP="00184773" w14:paraId="2DD3F0F0" w14:textId="77777777">
      <w:pPr>
        <w:pStyle w:val="Bodytext2"/>
        <w:rPr>
          <w:szCs w:val="15"/>
        </w:rPr>
      </w:pPr>
      <w:r>
        <w:rPr>
          <w:szCs w:val="15"/>
        </w:rPr>
        <w:t xml:space="preserve">The alternative performance measures should not be evaluated in isolation from the corresponding IFRS measures. The alternative performance measure calculation definitions are disclosed in Calculations of financial ratios. </w:t>
      </w:r>
    </w:p>
    <w:p w:rsidR="00184773" w:rsidP="00184773" w14:paraId="36CEF962" w14:textId="77777777">
      <w:pPr>
        <w:pStyle w:val="Bodytext2"/>
        <w:rPr>
          <w:szCs w:val="15"/>
        </w:rPr>
      </w:pPr>
    </w:p>
    <w:p w:rsidR="00184773" w:rsidP="00184773" w14:paraId="3D420868" w14:textId="77777777">
      <w:pPr>
        <w:pStyle w:val="Bodytext2"/>
        <w:rPr>
          <w:szCs w:val="15"/>
        </w:rPr>
      </w:pPr>
      <w:r>
        <w:rPr>
          <w:szCs w:val="15"/>
        </w:rPr>
        <w:t>Wärtsilä discloses certain comparable performance measures to enhance comparability between periods. Certain income and expenses are presented as items affecting comparability when they have significant impact on the consolidated statement of income. Items</w:t>
      </w:r>
      <w:r>
        <w:rPr>
          <w:szCs w:val="15"/>
        </w:rPr>
        <w:t xml:space="preserve"> affecting comparability consist of income and expenses, which result from restructuring activities aiming to adjust the capacity of </w:t>
      </w:r>
      <w:r>
        <w:rPr>
          <w:szCs w:val="15"/>
        </w:rPr>
        <w:t>Wärtsilä’s</w:t>
      </w:r>
      <w:r>
        <w:rPr>
          <w:szCs w:val="15"/>
        </w:rPr>
        <w:t xml:space="preserve"> operations. They may also include other income and expenses incurred outside </w:t>
      </w:r>
      <w:r>
        <w:rPr>
          <w:szCs w:val="15"/>
        </w:rPr>
        <w:t>Wärtsilä’s</w:t>
      </w:r>
      <w:r>
        <w:rPr>
          <w:szCs w:val="15"/>
        </w:rPr>
        <w:t xml:space="preserve"> normal course of busines</w:t>
      </w:r>
      <w:r>
        <w:rPr>
          <w:szCs w:val="15"/>
        </w:rPr>
        <w:t>s, such as impairment charges, acquisition related costs, settlements recorded as a result of legal proceedings with third parties, or unforeseen obligations from earlier discontinued businesses.</w:t>
      </w:r>
    </w:p>
    <w:p w:rsidR="00184773" w:rsidP="00184773" w14:paraId="29495586" w14:textId="77777777">
      <w:pPr>
        <w:pStyle w:val="Bodytext2"/>
        <w:rPr>
          <w:szCs w:val="15"/>
        </w:rPr>
      </w:pPr>
    </w:p>
    <w:p w:rsidR="00184773" w:rsidP="00184773" w14:paraId="7D62C40D" w14:textId="77777777">
      <w:pPr>
        <w:pStyle w:val="Bodytext2"/>
        <w:rPr>
          <w:szCs w:val="15"/>
        </w:rPr>
      </w:pPr>
      <w:r>
        <w:rPr>
          <w:szCs w:val="15"/>
        </w:rPr>
        <w:t>The reconciliation of the comparable operating result to th</w:t>
      </w:r>
      <w:r>
        <w:rPr>
          <w:szCs w:val="15"/>
        </w:rPr>
        <w:t>e operating result is presented in the table below.</w:t>
      </w:r>
    </w:p>
    <w:p w:rsidR="00184773" w:rsidP="00184773" w14:paraId="510826C6" w14:textId="77777777">
      <w:pPr>
        <w:pStyle w:val="Bodytext2"/>
        <w:rPr>
          <w:szCs w:val="15"/>
        </w:rPr>
      </w:pPr>
    </w:p>
    <w:p w:rsidR="00184773" w:rsidP="00184773" w14:paraId="40C4641A" w14:textId="77777777">
      <w:pPr>
        <w:pStyle w:val="Heading13"/>
      </w:pPr>
      <w:r>
        <w:t xml:space="preserve">Measures of profit and items affecting comparability </w:t>
      </w:r>
    </w:p>
    <w:p w:rsidR="00184773" w:rsidP="00184773" w14:paraId="4941220C" w14:textId="77777777">
      <w:pPr>
        <w:pStyle w:val="Bodytext2"/>
        <w:rPr>
          <w:szCs w:val="15"/>
        </w:rPr>
      </w:pPr>
    </w:p>
    <w:tbl>
      <w:tblPr>
        <w:tblStyle w:val="TableNormal"/>
        <w:tblCaption w:val="Table_NRI"/>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Comparable adjusted EBITA</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388</w:t>
            </w:r>
          </w:p>
        </w:tc>
        <w:tc>
          <w:tcPr>
            <w:tcW w:w="124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Purchase price allocation amortisation</w:t>
            </w:r>
          </w:p>
        </w:tc>
        <w:tc>
          <w:tcPr>
            <w:tcW w:w="124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Comparable operating result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357</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Items affecting comparability:</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Social plan costs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Impairment and write-downs</w:t>
            </w:r>
          </w:p>
        </w:tc>
        <w:tc>
          <w:tcPr>
            <w:tcW w:w="124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124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Profits and losses from disposals</w:t>
            </w:r>
          </w:p>
        </w:tc>
        <w:tc>
          <w:tcPr>
            <w:tcW w:w="124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8" w:space="0" w:color="000000"/>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costs</w:t>
            </w:r>
          </w:p>
        </w:tc>
        <w:tc>
          <w:tcPr>
            <w:tcW w:w="1245" w:type="dxa"/>
            <w:tcBorders>
              <w:top w:val="single" w:sz="4" w:space="0" w:color="004A6B"/>
              <w:left w:val="nil"/>
              <w:bottom w:val="single" w:sz="8" w:space="0" w:color="000000"/>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1245" w:type="dxa"/>
            <w:tcBorders>
              <w:top w:val="single" w:sz="4" w:space="0" w:color="004A6B"/>
              <w:left w:val="nil"/>
              <w:bottom w:val="single" w:sz="8" w:space="0" w:color="000000"/>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Items affecting comparability, total</w:t>
            </w:r>
          </w:p>
        </w:tc>
        <w:tc>
          <w:tcPr>
            <w:tcW w:w="12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-43</w:t>
            </w:r>
          </w:p>
        </w:tc>
        <w:tc>
          <w:tcPr>
            <w:tcW w:w="1245" w:type="dxa"/>
            <w:tcBorders>
              <w:top w:val="nil"/>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Operating result</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314</w:t>
            </w:r>
          </w:p>
        </w:tc>
        <w:tc>
          <w:tcPr>
            <w:tcW w:w="124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234</w:t>
            </w:r>
          </w:p>
        </w:tc>
      </w:tr>
    </w:tbl>
    <w:p w:rsidR="00184773" w:rsidP="002B78E7" w14:paraId="62C3EFB6" w14:textId="77777777">
      <w:pPr>
        <w:pStyle w:val="Bodytext2"/>
      </w:pPr>
      <w:r>
        <w:rPr>
          <w:szCs w:val="15"/>
        </w:rPr>
        <w:br w:type="column"/>
      </w:r>
      <w:r w:rsidRPr="002B78E7">
        <w:rPr>
          <w:rStyle w:val="Heading13Char"/>
        </w:rPr>
        <w:t>Entity wide information</w:t>
      </w:r>
    </w:p>
    <w:p w:rsidR="004619B5" w:rsidP="004619B5" w14:paraId="11D012A7" w14:textId="77777777">
      <w:pPr>
        <w:pStyle w:val="Bodytext2"/>
      </w:pPr>
      <w:r w:rsidRPr="004619B5">
        <w:t>In addition to segment information, Wärtsilä reports the service</w:t>
      </w:r>
      <w:r>
        <w:t xml:space="preserve"> net sales</w:t>
      </w:r>
      <w:r w:rsidRPr="004619B5">
        <w:t xml:space="preserve"> for all segments and for other bus</w:t>
      </w:r>
      <w:r w:rsidRPr="004619B5">
        <w:t>iness activities.</w:t>
      </w:r>
    </w:p>
    <w:p w:rsidR="004619B5" w:rsidRPr="004619B5" w:rsidP="004619B5" w14:paraId="76685BF8" w14:textId="77777777">
      <w:pPr>
        <w:pStyle w:val="Bodytext2"/>
      </w:pPr>
    </w:p>
    <w:p w:rsidR="00E0053B" w:rsidP="00E0053B" w14:paraId="1C9D27FD" w14:textId="77777777">
      <w:pPr>
        <w:pStyle w:val="Bodytext2"/>
      </w:pPr>
      <w:r w:rsidRPr="004619B5">
        <w:t>Wärtsilä continues to report information for the geographical areas</w:t>
      </w:r>
      <w:r>
        <w:t xml:space="preserve"> Finland, other </w:t>
      </w:r>
      <w:r w:rsidRPr="004619B5">
        <w:t>Europe</w:t>
      </w:r>
      <w:r>
        <w:t>an countries</w:t>
      </w:r>
      <w:r w:rsidRPr="004619B5">
        <w:t xml:space="preserve">, Asia, the Americas, and other. </w:t>
      </w:r>
      <w:r w:rsidRPr="00E0053B">
        <w:t>In the geographical information</w:t>
      </w:r>
      <w:r>
        <w:t xml:space="preserve"> provided,</w:t>
      </w:r>
      <w:r w:rsidRPr="00E0053B">
        <w:t xml:space="preserve"> net sales</w:t>
      </w:r>
      <w:r>
        <w:t xml:space="preserve"> </w:t>
      </w:r>
      <w:r w:rsidRPr="00E0053B">
        <w:t xml:space="preserve">are split by customer destination and </w:t>
      </w:r>
      <w:r w:rsidRPr="00E0053B">
        <w:t>non-current assets by origin. Non-current assets consist of goodwill, intangible assets, property</w:t>
      </w:r>
      <w:r>
        <w:t xml:space="preserve">, </w:t>
      </w:r>
      <w:r w:rsidRPr="00E0053B">
        <w:t>plant and equipment, right-of-use assets, and investments in associates and joint ventures.</w:t>
      </w:r>
    </w:p>
    <w:p w:rsidR="004619B5" w:rsidRPr="004619B5" w:rsidP="004619B5" w14:paraId="5413E828" w14:textId="77777777">
      <w:pPr>
        <w:pStyle w:val="Bodytext2"/>
      </w:pPr>
    </w:p>
    <w:p w:rsidR="00184773" w:rsidP="00184773" w14:paraId="1ABE18CE" w14:textId="77777777">
      <w:pPr>
        <w:pStyle w:val="Heading13"/>
      </w:pPr>
      <w:r>
        <w:t>Geographical information</w:t>
      </w:r>
    </w:p>
    <w:p w:rsidR="002B78E7" w:rsidP="00184773" w14:paraId="09CA5B40" w14:textId="77777777">
      <w:pPr>
        <w:pStyle w:val="Bodytext2"/>
        <w:rPr>
          <w:szCs w:val="15"/>
        </w:rPr>
      </w:pPr>
      <w:r>
        <w:rPr>
          <w:szCs w:val="15"/>
        </w:rPr>
        <w:t>During the financial period 1 January -</w:t>
      </w:r>
      <w:r>
        <w:rPr>
          <w:szCs w:val="15"/>
        </w:rPr>
        <w:t xml:space="preserve"> 31 December 2021 and 1 January - 31 December 2020 Wärtsilä did not have any individual significant customers or countries. Of the total net sales, sales to the USA represented 16% (11) and sales to China 9% (10).</w:t>
      </w:r>
    </w:p>
    <w:p w:rsidR="002B78E7" w:rsidP="00184773" w14:paraId="331B5382" w14:textId="77777777">
      <w:pPr>
        <w:pStyle w:val="Bodytext2"/>
        <w:rPr>
          <w:szCs w:val="15"/>
        </w:rPr>
      </w:pPr>
    </w:p>
    <w:tbl>
      <w:tblPr>
        <w:tblStyle w:val="TableNormal"/>
        <w:tblCaption w:val="Table_Geographical_information"/>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 sales</w:t>
            </w: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Finland</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73</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European countries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1,518</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1,445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Asia</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1,464</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1,570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The Americas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1,286</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1,077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437</w:t>
            </w:r>
          </w:p>
        </w:tc>
        <w:tc>
          <w:tcPr>
            <w:tcW w:w="124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4,778</w:t>
            </w:r>
          </w:p>
        </w:tc>
        <w:tc>
          <w:tcPr>
            <w:tcW w:w="124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4,604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Non-current assets</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Finland</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409</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European countries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1,533</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1,515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Asia</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112</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The Americas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246</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24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245" w:type="dxa"/>
            <w:tcBorders>
              <w:top w:val="single" w:sz="8" w:space="0" w:color="0F172B"/>
              <w:left w:val="nil"/>
              <w:bottom w:val="single" w:sz="8" w:space="0" w:color="0F172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2,307</w:t>
            </w:r>
          </w:p>
        </w:tc>
        <w:tc>
          <w:tcPr>
            <w:tcW w:w="1245" w:type="dxa"/>
            <w:tcBorders>
              <w:top w:val="single" w:sz="8" w:space="0" w:color="0F172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2,183</w:t>
            </w:r>
          </w:p>
        </w:tc>
      </w:tr>
    </w:tbl>
    <w:p w:rsidR="002B78E7" w:rsidP="002B78E7" w14:paraId="3A5F70FA" w14:textId="77777777">
      <w:pPr>
        <w:pStyle w:val="Bodytext2"/>
        <w:rPr>
          <w:sz w:val="2"/>
          <w:szCs w:val="2"/>
        </w:rPr>
      </w:pPr>
      <w:r>
        <w:rPr>
          <w:szCs w:val="15"/>
        </w:rPr>
        <w:br w:type="column"/>
      </w:r>
    </w:p>
    <w:p w:rsidR="00184773" w:rsidRPr="002B78E7" w:rsidP="002B78E7" w14:paraId="7A7DFCFC" w14:textId="77777777">
      <w:pPr>
        <w:pStyle w:val="Bodytext2"/>
        <w:rPr>
          <w:szCs w:val="15"/>
        </w:rPr>
      </w:pPr>
      <w:r w:rsidRPr="002B78E7">
        <w:rPr>
          <w:rStyle w:val="Heading13Char"/>
        </w:rPr>
        <w:t>Serv</w:t>
      </w:r>
      <w:r w:rsidRPr="002B78E7">
        <w:rPr>
          <w:rStyle w:val="Heading13Char"/>
        </w:rPr>
        <w:t>ice net sales</w:t>
      </w:r>
    </w:p>
    <w:p w:rsidR="00184773" w:rsidP="00184773" w14:paraId="4E5F4B67" w14:textId="77777777">
      <w:pPr>
        <w:pStyle w:val="Bodytext2"/>
        <w:rPr>
          <w:szCs w:val="15"/>
        </w:rPr>
      </w:pPr>
    </w:p>
    <w:tbl>
      <w:tblPr>
        <w:tblStyle w:val="TableNormal"/>
        <w:tblCaption w:val="Table_Service_information"/>
        <w:tblW w:w="7320" w:type="dxa"/>
        <w:tblLayout w:type="fixed"/>
        <w:tblLook w:val="0600"/>
      </w:tblPr>
      <w:tblGrid>
        <w:gridCol w:w="4830"/>
        <w:gridCol w:w="1245"/>
        <w:gridCol w:w="1245"/>
      </w:tblGrid>
      <w:tr>
        <w:tblPrEx>
          <w:tblW w:w="7320" w:type="dxa"/>
          <w:tblLayout w:type="fixed"/>
          <w:tblLook w:val="0600"/>
        </w:tblPrEx>
        <w:trPr>
          <w:trHeight w:val="240"/>
        </w:trPr>
        <w:tc>
          <w:tcPr>
            <w:tcW w:w="48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 sales</w:t>
            </w: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Power, service</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1,226</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1,096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Systems, service</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211</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Voyage, service</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105</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Energy, service</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891</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782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Portfolio Business, service</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67</w:t>
            </w:r>
          </w:p>
        </w:tc>
        <w:tc>
          <w:tcPr>
            <w:tcW w:w="124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2,499</w:t>
            </w:r>
          </w:p>
        </w:tc>
        <w:tc>
          <w:tcPr>
            <w:tcW w:w="124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2,255</w:t>
            </w:r>
          </w:p>
        </w:tc>
      </w:tr>
    </w:tbl>
    <w:p/>
    <w:p w:rsidR="009275CE" w:rsidRPr="009275CE" w:rsidP="009275CE" w14:paraId="22381B99" w14:textId="77777777">
      <w:pPr>
        <w:pStyle w:val="Heading12"/>
      </w:pPr>
      <w:bookmarkStart w:id="1457" w:name="RG_MARKER_7345"/>
      <w:r w:rsidRPr="009275CE">
        <w:t>2.2. REVENUE RECOGNITION</w:t>
      </w:r>
      <w:bookmarkEnd w:id="1457"/>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371"/>
      </w:tblGrid>
      <w:tr w14:paraId="402E548B" w14:textId="77777777" w:rsidTr="00795DF8">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7371" w:type="dxa"/>
            <w:shd w:val="clear" w:color="auto" w:fill="B6C8D1"/>
          </w:tcPr>
          <w:p w:rsidR="009275CE" w:rsidRPr="00106A19" w:rsidP="009275CE" w14:paraId="5D877B72" w14:textId="77777777">
            <w:pPr>
              <w:pStyle w:val="Heading13"/>
              <w:rPr>
                <w:lang w:val="en-GB"/>
              </w:rPr>
            </w:pPr>
            <w:r w:rsidRPr="00106A19">
              <w:rPr>
                <w:lang w:val="en-GB"/>
              </w:rPr>
              <w:t>Accounting principles</w:t>
            </w:r>
          </w:p>
          <w:p w:rsidR="009275CE" w:rsidRPr="00106A19" w:rsidP="009275CE" w14:paraId="3197AD77" w14:textId="09DA8195">
            <w:pPr>
              <w:pStyle w:val="Bodytext2"/>
              <w:rPr>
                <w:lang w:val="en-GB"/>
              </w:rPr>
            </w:pPr>
            <w:r w:rsidRPr="00106A19">
              <w:rPr>
                <w:lang w:val="en-GB"/>
              </w:rPr>
              <w:t>Revenue is presented net of indirect sales taxes, penalties</w:t>
            </w:r>
            <w:r w:rsidRPr="00106A19">
              <w:rPr>
                <w:lang w:val="en-GB"/>
              </w:rPr>
              <w:t xml:space="preserve"> and discounts. Revenue is recognised when control of the goods or services is transferred to the customer at an amount that reflects the consideration to which the Group expects to be entitled in exchange for those goods and services. The transaction pric</w:t>
            </w:r>
            <w:r w:rsidRPr="00106A19">
              <w:rPr>
                <w:lang w:val="en-GB"/>
              </w:rPr>
              <w:t xml:space="preserve">e may include variable considerations, such as penalties, performance bonuses and </w:t>
            </w:r>
            <w:r w:rsidRPr="00027CC5">
              <w:rPr>
                <w:lang w:val="en-GB"/>
              </w:rPr>
              <w:t>discounts.</w:t>
            </w:r>
            <w:r w:rsidRPr="00027CC5" w:rsidR="00C950D5">
              <w:rPr>
                <w:lang w:val="en-GB"/>
              </w:rPr>
              <w:t xml:space="preserve"> Variable consideration is included in the revenue only to the extent that it is highly probable that the amount will not be subject </w:t>
            </w:r>
            <w:r>
              <w:rPr>
                <w:lang w:val="en-GB"/>
              </w:rPr>
              <w:t>to</w:t>
            </w:r>
            <w:r w:rsidRPr="00027CC5" w:rsidR="00C950D5">
              <w:rPr>
                <w:lang w:val="en-GB"/>
              </w:rPr>
              <w:t xml:space="preserve"> significant reversal.</w:t>
            </w:r>
            <w:r w:rsidRPr="00106A19">
              <w:rPr>
                <w:lang w:val="en-GB"/>
              </w:rPr>
              <w:t xml:space="preserve"> Revenu</w:t>
            </w:r>
            <w:r w:rsidRPr="00106A19">
              <w:rPr>
                <w:lang w:val="en-GB"/>
              </w:rPr>
              <w:t>e recognised by the reporting date corresponds to the benefit of the service provided by Wärtsilä to the customer.</w:t>
            </w:r>
          </w:p>
          <w:p w:rsidR="009275CE" w:rsidRPr="00106A19" w:rsidP="009275CE" w14:paraId="22E67B09" w14:textId="77777777">
            <w:pPr>
              <w:pStyle w:val="Bodytext2"/>
              <w:rPr>
                <w:lang w:val="en-GB"/>
              </w:rPr>
            </w:pPr>
          </w:p>
          <w:p w:rsidR="009275CE" w:rsidRPr="00106A19" w:rsidP="009275CE" w14:paraId="7F0AC2B6" w14:textId="62D12A5C">
            <w:pPr>
              <w:pStyle w:val="Bodytext2"/>
              <w:rPr>
                <w:lang w:val="en-GB"/>
              </w:rPr>
            </w:pPr>
            <w:r w:rsidRPr="00106A19">
              <w:rPr>
                <w:lang w:val="en-GB"/>
              </w:rPr>
              <w:t>The Group recognises revenue when it satisfies an identified performance obligation by transferring promised goods or service</w:t>
            </w:r>
            <w:r w:rsidRPr="00106A19" w:rsidR="000666DA">
              <w:rPr>
                <w:lang w:val="en-GB"/>
              </w:rPr>
              <w:t>s</w:t>
            </w:r>
            <w:r w:rsidRPr="00106A19">
              <w:rPr>
                <w:lang w:val="en-GB"/>
              </w:rPr>
              <w:t xml:space="preserve"> to the custom</w:t>
            </w:r>
            <w:r w:rsidRPr="00106A19">
              <w:rPr>
                <w:lang w:val="en-GB"/>
              </w:rPr>
              <w:t xml:space="preserve">er. Goods and services are generally considered to be transferred when the customer obtains control </w:t>
            </w:r>
            <w:r w:rsidR="00FB4D9C">
              <w:rPr>
                <w:lang w:val="en-GB"/>
              </w:rPr>
              <w:t>of them</w:t>
            </w:r>
            <w:r w:rsidRPr="00106A19">
              <w:rPr>
                <w:lang w:val="en-GB"/>
              </w:rPr>
              <w:t xml:space="preserve">. </w:t>
            </w:r>
            <w:r w:rsidR="00FB4D9C">
              <w:rPr>
                <w:lang w:val="en-GB"/>
              </w:rPr>
              <w:t>Such</w:t>
            </w:r>
            <w:r w:rsidRPr="00106A19">
              <w:rPr>
                <w:lang w:val="en-GB"/>
              </w:rPr>
              <w:t xml:space="preserve"> control is transferred either</w:t>
            </w:r>
            <w:r w:rsidRPr="00106A19" w:rsidR="000666DA">
              <w:rPr>
                <w:lang w:val="en-GB"/>
              </w:rPr>
              <w:t xml:space="preserve"> at a</w:t>
            </w:r>
            <w:r w:rsidRPr="00106A19">
              <w:rPr>
                <w:lang w:val="en-GB"/>
              </w:rPr>
              <w:t xml:space="preserve"> point in time or over time.</w:t>
            </w:r>
          </w:p>
          <w:p w:rsidR="009275CE" w:rsidRPr="00106A19" w:rsidP="009275CE" w14:paraId="5ADCB408" w14:textId="77777777">
            <w:pPr>
              <w:pStyle w:val="Bodytext2"/>
              <w:rPr>
                <w:lang w:val="en-GB"/>
              </w:rPr>
            </w:pPr>
          </w:p>
          <w:p w:rsidR="009275CE" w:rsidRPr="00106A19" w:rsidP="009275CE" w14:paraId="5FF370BE" w14:textId="18FC3097">
            <w:pPr>
              <w:pStyle w:val="Bodytext2"/>
              <w:rPr>
                <w:lang w:val="en-GB"/>
              </w:rPr>
            </w:pPr>
            <w:r w:rsidRPr="0049191D">
              <w:rPr>
                <w:lang w:val="en-GB"/>
              </w:rPr>
              <w:t>Wärtsilä focuses on the marine and energy markets with products, solutions, an</w:t>
            </w:r>
            <w:r w:rsidRPr="0049191D">
              <w:rPr>
                <w:lang w:val="en-GB"/>
              </w:rPr>
              <w:t xml:space="preserve">d services. </w:t>
            </w:r>
            <w:r w:rsidRPr="00106A19" w:rsidR="002B7AB8">
              <w:rPr>
                <w:lang w:val="en-GB"/>
              </w:rPr>
              <w:t>Revenue from contracts with customers is derived from four revenue types</w:t>
            </w:r>
            <w:r w:rsidRPr="00E27CFC">
              <w:rPr>
                <w:lang w:val="en-GB"/>
              </w:rPr>
              <w:t>: products, goods and services, projects and long-term agreements.</w:t>
            </w:r>
            <w:r w:rsidRPr="00106A19" w:rsidR="002B7AB8">
              <w:rPr>
                <w:lang w:val="en-GB"/>
              </w:rPr>
              <w:t xml:space="preserve"> All these revenue types are represented within all reportable segments</w:t>
            </w:r>
            <w:r w:rsidRPr="00106A19" w:rsidR="000666DA">
              <w:rPr>
                <w:lang w:val="en-GB"/>
              </w:rPr>
              <w:t xml:space="preserve"> and other business activities</w:t>
            </w:r>
            <w:r w:rsidRPr="00106A19" w:rsidR="002B7AB8">
              <w:rPr>
                <w:lang w:val="en-GB"/>
              </w:rPr>
              <w:t>: Marine Power, Marine Systems, Voyage</w:t>
            </w:r>
            <w:r w:rsidRPr="00106A19" w:rsidR="000666DA">
              <w:rPr>
                <w:lang w:val="en-GB"/>
              </w:rPr>
              <w:t>,</w:t>
            </w:r>
            <w:r w:rsidRPr="00106A19" w:rsidR="002B7AB8">
              <w:rPr>
                <w:lang w:val="en-GB"/>
              </w:rPr>
              <w:t xml:space="preserve"> Energy and Portfolio Business.</w:t>
            </w:r>
          </w:p>
          <w:p w:rsidR="009275CE" w:rsidRPr="00106A19" w:rsidP="009275CE" w14:paraId="19392110" w14:textId="77777777">
            <w:pPr>
              <w:pStyle w:val="Bodytext2"/>
              <w:rPr>
                <w:lang w:val="en-GB"/>
              </w:rPr>
            </w:pPr>
          </w:p>
          <w:p w:rsidR="009275CE" w:rsidRPr="00106A19" w:rsidP="009275CE" w14:paraId="3FB615D7" w14:textId="776924E2">
            <w:pPr>
              <w:pStyle w:val="Bodytext2"/>
              <w:rPr>
                <w:lang w:val="en-GB"/>
              </w:rPr>
            </w:pPr>
            <w:r w:rsidRPr="00106A19">
              <w:rPr>
                <w:lang w:val="en-GB"/>
              </w:rPr>
              <w:t>Product sales consist of sales of spare parts and standard equipment</w:t>
            </w:r>
            <w:r w:rsidRPr="00106A19" w:rsidR="000666DA">
              <w:rPr>
                <w:lang w:val="en-GB"/>
              </w:rPr>
              <w:t>,</w:t>
            </w:r>
            <w:r w:rsidRPr="00106A19">
              <w:rPr>
                <w:lang w:val="en-GB"/>
              </w:rPr>
              <w:t xml:space="preserve"> for which the revenue is recognised at a point in time when the control of the product has transferred to</w:t>
            </w:r>
            <w:r w:rsidRPr="00106A19" w:rsidR="000666DA">
              <w:rPr>
                <w:lang w:val="en-GB"/>
              </w:rPr>
              <w:t xml:space="preserve"> the</w:t>
            </w:r>
            <w:r w:rsidRPr="00106A19">
              <w:rPr>
                <w:lang w:val="en-GB"/>
              </w:rPr>
              <w:t xml:space="preserve"> customer,</w:t>
            </w:r>
            <w:r w:rsidRPr="00106A19">
              <w:rPr>
                <w:lang w:val="en-GB"/>
              </w:rPr>
              <w:t xml:space="preserve"> in general </w:t>
            </w:r>
            <w:r w:rsidRPr="00106A19" w:rsidR="000666DA">
              <w:rPr>
                <w:lang w:val="en-GB"/>
              </w:rPr>
              <w:t>upon</w:t>
            </w:r>
            <w:r w:rsidRPr="00106A19">
              <w:rPr>
                <w:lang w:val="en-GB"/>
              </w:rPr>
              <w:t xml:space="preserve"> delivery of the goods. Product sale contracts generally include one performance obligation.</w:t>
            </w:r>
          </w:p>
          <w:p w:rsidR="009275CE" w:rsidRPr="00106A19" w:rsidP="009275CE" w14:paraId="4770A755" w14:textId="77777777">
            <w:pPr>
              <w:pStyle w:val="Bodytext2"/>
              <w:rPr>
                <w:lang w:val="en-GB"/>
              </w:rPr>
            </w:pPr>
          </w:p>
          <w:p w:rsidR="009275CE" w:rsidRPr="00106A19" w:rsidP="009275CE" w14:paraId="47D033A2" w14:textId="5A9DEFDE">
            <w:pPr>
              <w:pStyle w:val="Bodytext2"/>
              <w:rPr>
                <w:lang w:val="en-GB"/>
              </w:rPr>
            </w:pPr>
            <w:r w:rsidRPr="00106A19">
              <w:rPr>
                <w:lang w:val="en-GB"/>
              </w:rPr>
              <w:t>Goods and services -type of revenue involves short-term field service jobs, includ</w:t>
            </w:r>
            <w:r w:rsidR="00FB4D9C">
              <w:rPr>
                <w:lang w:val="en-GB"/>
              </w:rPr>
              <w:t>ing</w:t>
            </w:r>
            <w:r w:rsidRPr="00106A19">
              <w:rPr>
                <w:lang w:val="en-GB"/>
              </w:rPr>
              <w:t xml:space="preserve"> the delivery of a combination of service and equipment. The </w:t>
            </w:r>
            <w:r w:rsidRPr="00106A19">
              <w:rPr>
                <w:lang w:val="en-GB"/>
              </w:rPr>
              <w:t>revenue is recognised at a point in time when the service is rendered. Goods and service -type contracts, such as service orders, generally include one performance obligation.</w:t>
            </w:r>
          </w:p>
          <w:p w:rsidR="009275CE" w:rsidRPr="00106A19" w:rsidP="009275CE" w14:paraId="195999D5" w14:textId="77777777">
            <w:pPr>
              <w:pStyle w:val="Bodytext2"/>
              <w:rPr>
                <w:lang w:val="en-GB"/>
              </w:rPr>
            </w:pPr>
          </w:p>
          <w:p w:rsidR="009275CE" w:rsidRPr="00106A19" w:rsidP="009275CE" w14:paraId="1D6F3AE6" w14:textId="25167395">
            <w:pPr>
              <w:pStyle w:val="Bodytext2"/>
              <w:rPr>
                <w:lang w:val="en-GB"/>
              </w:rPr>
            </w:pPr>
            <w:r w:rsidRPr="00106A19">
              <w:rPr>
                <w:lang w:val="en-GB"/>
              </w:rPr>
              <w:t xml:space="preserve">Projects </w:t>
            </w:r>
            <w:r w:rsidR="00FB4D9C">
              <w:rPr>
                <w:lang w:val="en-GB"/>
              </w:rPr>
              <w:t xml:space="preserve">are of both </w:t>
            </w:r>
            <w:r w:rsidRPr="00106A19">
              <w:rPr>
                <w:lang w:val="en-GB"/>
              </w:rPr>
              <w:t xml:space="preserve">short- and long-term </w:t>
            </w:r>
            <w:r w:rsidR="00FB4D9C">
              <w:rPr>
                <w:lang w:val="en-GB"/>
              </w:rPr>
              <w:t>duration</w:t>
            </w:r>
            <w:r w:rsidRPr="00106A19">
              <w:rPr>
                <w:lang w:val="en-GB"/>
              </w:rPr>
              <w:t>. Depending on the contract t</w:t>
            </w:r>
            <w:r w:rsidRPr="00106A19">
              <w:rPr>
                <w:lang w:val="en-GB"/>
              </w:rPr>
              <w:t>erms and the duration of the project, the revenue is recognised at a point in time or over time. In large-scale system or equipment deliveries which require engineering, for example power plants</w:t>
            </w:r>
            <w:r w:rsidR="00C950D5">
              <w:rPr>
                <w:lang w:val="en-GB"/>
              </w:rPr>
              <w:t xml:space="preserve"> </w:t>
            </w:r>
            <w:r w:rsidRPr="007F7F26" w:rsidR="00C950D5">
              <w:rPr>
                <w:lang w:val="en-GB"/>
              </w:rPr>
              <w:t>and energy storages in Energy</w:t>
            </w:r>
            <w:r>
              <w:rPr>
                <w:lang w:val="en-GB"/>
              </w:rPr>
              <w:t>,</w:t>
            </w:r>
            <w:r w:rsidRPr="00106A19">
              <w:rPr>
                <w:lang w:val="en-GB"/>
              </w:rPr>
              <w:t xml:space="preserve"> and gas solution</w:t>
            </w:r>
            <w:r>
              <w:rPr>
                <w:lang w:val="en-GB"/>
              </w:rPr>
              <w:t>s</w:t>
            </w:r>
            <w:r w:rsidRPr="00106A19">
              <w:rPr>
                <w:lang w:val="en-GB"/>
              </w:rPr>
              <w:t xml:space="preserve"> construction</w:t>
            </w:r>
            <w:r w:rsidRPr="00106A19">
              <w:rPr>
                <w:lang w:val="en-GB"/>
              </w:rPr>
              <w:t xml:space="preserve"> </w:t>
            </w:r>
            <w:r w:rsidRPr="007F7F26">
              <w:rPr>
                <w:lang w:val="en-GB"/>
              </w:rPr>
              <w:t>contracts</w:t>
            </w:r>
            <w:r w:rsidRPr="007F7F26" w:rsidR="00C950D5">
              <w:rPr>
                <w:lang w:val="en-GB"/>
              </w:rPr>
              <w:t xml:space="preserve"> in Marine Systems</w:t>
            </w:r>
            <w:r w:rsidRPr="00106A19">
              <w:rPr>
                <w:lang w:val="en-GB"/>
              </w:rPr>
              <w:t xml:space="preserve">, the revenue is recognised over time as the asset produced does not have alternative use and the Group has </w:t>
            </w:r>
            <w:r w:rsidR="00FB4D9C">
              <w:rPr>
                <w:lang w:val="en-GB"/>
              </w:rPr>
              <w:t xml:space="preserve">an </w:t>
            </w:r>
            <w:r w:rsidRPr="00106A19">
              <w:rPr>
                <w:lang w:val="en-GB"/>
              </w:rPr>
              <w:t>enforceable right to payment. These contracts usually contain one performance obligation</w:t>
            </w:r>
            <w:r w:rsidRPr="00FF3986">
              <w:rPr>
                <w:lang w:val="en-GB"/>
              </w:rPr>
              <w:t>. The progress is measured by</w:t>
            </w:r>
            <w:r w:rsidRPr="00FF3986">
              <w:rPr>
                <w:lang w:val="en-GB"/>
              </w:rPr>
              <w:t xml:space="preserve"> using the cost-to-cost method, where sales and profits are recognised after considering the ratio of accumulated costs to estimated total costs to complete each contract.</w:t>
            </w:r>
            <w:r w:rsidRPr="00106A19">
              <w:rPr>
                <w:lang w:val="en-GB"/>
              </w:rPr>
              <w:t xml:space="preserve"> Revenue from tailor-made equipment delivery projects is recognised at a point in tim</w:t>
            </w:r>
            <w:r w:rsidRPr="00106A19">
              <w:rPr>
                <w:lang w:val="en-GB"/>
              </w:rPr>
              <w:t xml:space="preserve">e when the control of the equipment is transferred, in general </w:t>
            </w:r>
            <w:r w:rsidRPr="00106A19" w:rsidR="000666DA">
              <w:rPr>
                <w:lang w:val="en-GB"/>
              </w:rPr>
              <w:t>upon</w:t>
            </w:r>
            <w:r w:rsidRPr="00106A19">
              <w:rPr>
                <w:lang w:val="en-GB"/>
              </w:rPr>
              <w:t xml:space="preserve"> delivery. These contracts generally represent one performance obligation, but under certain circumstances they can contain multiple performance obligations when a contract contains multipl</w:t>
            </w:r>
            <w:r w:rsidRPr="00106A19">
              <w:rPr>
                <w:lang w:val="en-GB"/>
              </w:rPr>
              <w:t>e units of delivery.</w:t>
            </w:r>
            <w:r>
              <w:rPr>
                <w:lang w:val="en-GB"/>
              </w:rPr>
              <w:t xml:space="preserve"> </w:t>
            </w:r>
            <w:r w:rsidRPr="00FF3986">
              <w:rPr>
                <w:lang w:val="en-GB"/>
              </w:rPr>
              <w:t>Tailor-made equipment sales are mainly in Marine Power and in Marine Systems</w:t>
            </w:r>
            <w:r>
              <w:rPr>
                <w:lang w:val="en-GB"/>
              </w:rPr>
              <w:t>.</w:t>
            </w:r>
            <w:r w:rsidRPr="00106A19">
              <w:rPr>
                <w:lang w:val="en-GB"/>
              </w:rPr>
              <w:t xml:space="preserve"> Revenue from </w:t>
            </w:r>
            <w:r>
              <w:rPr>
                <w:lang w:val="en-GB"/>
              </w:rPr>
              <w:t xml:space="preserve">service </w:t>
            </w:r>
            <w:r w:rsidRPr="00106A19">
              <w:rPr>
                <w:lang w:val="en-GB"/>
              </w:rPr>
              <w:t>related</w:t>
            </w:r>
            <w:r w:rsidRPr="00106A19">
              <w:rPr>
                <w:lang w:val="en-GB"/>
              </w:rPr>
              <w:t xml:space="preserve"> projects</w:t>
            </w:r>
            <w:r>
              <w:rPr>
                <w:lang w:val="en-GB"/>
              </w:rPr>
              <w:t>,</w:t>
            </w:r>
            <w:r w:rsidRPr="00106A19">
              <w:rPr>
                <w:lang w:val="en-GB"/>
              </w:rPr>
              <w:t xml:space="preserve"> </w:t>
            </w:r>
            <w:r w:rsidRPr="00106A19" w:rsidR="000666DA">
              <w:rPr>
                <w:lang w:val="en-GB"/>
              </w:rPr>
              <w:t>such as</w:t>
            </w:r>
            <w:r w:rsidRPr="00106A19">
              <w:rPr>
                <w:lang w:val="en-GB"/>
              </w:rPr>
              <w:t xml:space="preserve"> modernisation and upgrade projects is recognised over</w:t>
            </w:r>
            <w:r w:rsidRPr="00106A19" w:rsidR="000666DA">
              <w:rPr>
                <w:lang w:val="en-GB"/>
              </w:rPr>
              <w:t xml:space="preserve"> </w:t>
            </w:r>
            <w:r w:rsidRPr="00106A19">
              <w:rPr>
                <w:lang w:val="en-GB"/>
              </w:rPr>
              <w:t xml:space="preserve">time because </w:t>
            </w:r>
            <w:r>
              <w:rPr>
                <w:lang w:val="en-GB"/>
              </w:rPr>
              <w:t xml:space="preserve">the </w:t>
            </w:r>
            <w:r w:rsidRPr="00106A19" w:rsidR="000666DA">
              <w:rPr>
                <w:lang w:val="en-GB"/>
              </w:rPr>
              <w:t xml:space="preserve">customer </w:t>
            </w:r>
            <w:r w:rsidRPr="00106A19">
              <w:rPr>
                <w:lang w:val="en-GB"/>
              </w:rPr>
              <w:t>typically controls the asset t</w:t>
            </w:r>
            <w:r w:rsidRPr="00106A19">
              <w:rPr>
                <w:lang w:val="en-GB"/>
              </w:rPr>
              <w:t xml:space="preserve">hat is enhanced. </w:t>
            </w:r>
            <w:r w:rsidR="00F753FD">
              <w:rPr>
                <w:lang w:val="en-GB"/>
              </w:rPr>
              <w:t>Service</w:t>
            </w:r>
            <w:r>
              <w:rPr>
                <w:lang w:val="en-GB"/>
              </w:rPr>
              <w:t xml:space="preserve"> </w:t>
            </w:r>
            <w:r w:rsidRPr="00106A19">
              <w:rPr>
                <w:lang w:val="en-GB"/>
              </w:rPr>
              <w:t>related</w:t>
            </w:r>
            <w:r w:rsidRPr="00106A19">
              <w:rPr>
                <w:lang w:val="en-GB"/>
              </w:rPr>
              <w:t xml:space="preserve"> projects </w:t>
            </w:r>
            <w:r w:rsidRPr="00106A19" w:rsidR="000666DA">
              <w:rPr>
                <w:lang w:val="en-GB"/>
              </w:rPr>
              <w:t xml:space="preserve">usually </w:t>
            </w:r>
            <w:r w:rsidRPr="00106A19">
              <w:rPr>
                <w:lang w:val="en-GB"/>
              </w:rPr>
              <w:t>contain one performance obligation.</w:t>
            </w:r>
          </w:p>
          <w:p w:rsidR="009275CE" w:rsidRPr="00106A19" w:rsidP="009275CE" w14:paraId="0162C9F1" w14:textId="77777777">
            <w:pPr>
              <w:pStyle w:val="Bodytext2"/>
              <w:rPr>
                <w:lang w:val="en-GB"/>
              </w:rPr>
            </w:pPr>
          </w:p>
          <w:p w:rsidR="009275CE" w:rsidRPr="002B7AB8" w:rsidP="009275CE" w14:paraId="45E9D62D" w14:textId="1A91D147">
            <w:pPr>
              <w:pStyle w:val="Bodytext2"/>
              <w:rPr>
                <w:lang w:val="en-GB"/>
              </w:rPr>
            </w:pPr>
            <w:r w:rsidRPr="00106A19">
              <w:rPr>
                <w:lang w:val="en-GB"/>
              </w:rPr>
              <w:t xml:space="preserve">Long-term agreements </w:t>
            </w:r>
            <w:r>
              <w:rPr>
                <w:lang w:val="en-GB"/>
              </w:rPr>
              <w:t>include</w:t>
            </w:r>
            <w:r w:rsidRPr="00106A19">
              <w:rPr>
                <w:lang w:val="en-GB"/>
              </w:rPr>
              <w:t xml:space="preserve"> long-term operating and maintenance agreements for which the revenue is recognised over time because the customer simultaneously receives a</w:t>
            </w:r>
            <w:r w:rsidRPr="00106A19">
              <w:rPr>
                <w:lang w:val="en-GB"/>
              </w:rPr>
              <w:t>nd consumes the service provided.</w:t>
            </w:r>
            <w:r w:rsidRPr="002B7AB8">
              <w:rPr>
                <w:highlight w:val="yellow"/>
                <w:lang w:val="en-GB"/>
              </w:rPr>
              <w:t xml:space="preserve"> </w:t>
            </w:r>
            <w:r w:rsidRPr="00FF3986">
              <w:rPr>
                <w:lang w:val="en-GB"/>
              </w:rPr>
              <w:t>Measuring progress is based on cost-to-cost method, costs of actual services provided as a proportion of the costs of total services to be rendered These contracts generally contain one performance obligation per installat</w:t>
            </w:r>
            <w:r w:rsidRPr="00FF3986">
              <w:rPr>
                <w:lang w:val="en-GB"/>
              </w:rPr>
              <w:t>ion. Long-term agreements mainly generate revenue in Energy and in Marine Power.</w:t>
            </w:r>
          </w:p>
          <w:p w:rsidR="009275CE" w:rsidRPr="00106A19" w:rsidP="009275CE" w14:paraId="36CA6775" w14:textId="77777777">
            <w:pPr>
              <w:pStyle w:val="Bodytext2"/>
              <w:rPr>
                <w:lang w:val="en-GB"/>
              </w:rPr>
            </w:pPr>
          </w:p>
          <w:p w:rsidR="009275CE" w:rsidRPr="00106A19" w:rsidP="009275CE" w14:paraId="0DEFBC56" w14:textId="797D01C2">
            <w:pPr>
              <w:pStyle w:val="Bodytext2"/>
              <w:rPr>
                <w:lang w:val="en-GB"/>
              </w:rPr>
            </w:pPr>
            <w:r w:rsidRPr="00106A19">
              <w:rPr>
                <w:lang w:val="en-GB"/>
              </w:rPr>
              <w:t xml:space="preserve">Contracts with customers often include warranties in line with </w:t>
            </w:r>
            <w:r w:rsidRPr="00106A19">
              <w:rPr>
                <w:lang w:val="en-GB"/>
              </w:rPr>
              <w:t>Wärtsilä’s</w:t>
            </w:r>
            <w:r w:rsidRPr="00106A19">
              <w:rPr>
                <w:lang w:val="en-GB"/>
              </w:rPr>
              <w:t xml:space="preserve"> General terms and conditions, which are regarded as part of the promise to the customer. Extended wa</w:t>
            </w:r>
            <w:r w:rsidRPr="00106A19">
              <w:rPr>
                <w:lang w:val="en-GB"/>
              </w:rPr>
              <w:t xml:space="preserve">rranties or warranties purchased as an option are identified as separate performance obligations </w:t>
            </w:r>
            <w:r>
              <w:rPr>
                <w:lang w:val="en-GB"/>
              </w:rPr>
              <w:t>with</w:t>
            </w:r>
            <w:r w:rsidRPr="00106A19">
              <w:rPr>
                <w:lang w:val="en-GB"/>
              </w:rPr>
              <w:t xml:space="preserve"> revenue </w:t>
            </w:r>
            <w:r>
              <w:rPr>
                <w:lang w:val="en-GB"/>
              </w:rPr>
              <w:t>being</w:t>
            </w:r>
            <w:r w:rsidRPr="00106A19">
              <w:rPr>
                <w:lang w:val="en-GB"/>
              </w:rPr>
              <w:t xml:space="preserve"> recognised evenly over the warranty period.</w:t>
            </w:r>
          </w:p>
          <w:p w:rsidR="009275CE" w:rsidRPr="00106A19" w:rsidP="009275CE" w14:paraId="4118F7FF" w14:textId="77777777">
            <w:pPr>
              <w:pStyle w:val="Bodytext2"/>
              <w:rPr>
                <w:lang w:val="en-GB"/>
              </w:rPr>
            </w:pPr>
          </w:p>
          <w:p w:rsidR="009275CE" w:rsidRPr="00106A19" w:rsidP="009275CE" w14:paraId="75EED9C9" w14:textId="5F7F0AA3">
            <w:pPr>
              <w:pStyle w:val="Bodytext2"/>
              <w:rPr>
                <w:lang w:val="en-GB"/>
              </w:rPr>
            </w:pPr>
            <w:r w:rsidRPr="00106A19">
              <w:rPr>
                <w:lang w:val="en-GB"/>
              </w:rPr>
              <w:t>Revenue recognised over time is measured in accordance with the input method (progress measured</w:t>
            </w:r>
            <w:r w:rsidRPr="00106A19">
              <w:rPr>
                <w:lang w:val="en-GB"/>
              </w:rPr>
              <w:t xml:space="preserve"> based on costs incurred) when the outcome of the contract can be estimated reliably. When the outcome cannot be reliably determined, the costs arising are expensed in the same </w:t>
            </w:r>
            <w:r>
              <w:rPr>
                <w:lang w:val="en-GB"/>
              </w:rPr>
              <w:t>reporting</w:t>
            </w:r>
            <w:r w:rsidRPr="00106A19">
              <w:rPr>
                <w:lang w:val="en-GB"/>
              </w:rPr>
              <w:t xml:space="preserve"> period in which they occur, but the revenue is recorded only to the e</w:t>
            </w:r>
            <w:r w:rsidRPr="00106A19">
              <w:rPr>
                <w:lang w:val="en-GB"/>
              </w:rPr>
              <w:t>xtent that the company will receive an amount corresponding to actual costs. Any losses are expensed immediately. If revenue for goods and services is recognised at a point in time, it is when control is transferred to the customer. The transfer of control</w:t>
            </w:r>
            <w:r w:rsidRPr="00106A19">
              <w:rPr>
                <w:lang w:val="en-GB"/>
              </w:rPr>
              <w:t xml:space="preserve"> is based mainly on transferring risks and rewards according to the delivery terms.</w:t>
            </w:r>
          </w:p>
          <w:p w:rsidR="009275CE" w:rsidRPr="00106A19" w:rsidP="009275CE" w14:paraId="6725E04A" w14:textId="77777777">
            <w:pPr>
              <w:pStyle w:val="Bodytext2"/>
              <w:rPr>
                <w:lang w:val="en-GB"/>
              </w:rPr>
            </w:pPr>
          </w:p>
          <w:p w:rsidR="009275CE" w:rsidRPr="00106A19" w:rsidP="009275CE" w14:paraId="331A62DB" w14:textId="5F7B1DC6">
            <w:pPr>
              <w:pStyle w:val="Bodytext2"/>
              <w:rPr>
                <w:lang w:val="en-GB"/>
              </w:rPr>
            </w:pPr>
            <w:r>
              <w:rPr>
                <w:lang w:val="en-GB"/>
              </w:rPr>
              <w:t>Should</w:t>
            </w:r>
            <w:r w:rsidRPr="00106A19">
              <w:rPr>
                <w:lang w:val="en-GB"/>
              </w:rPr>
              <w:t xml:space="preserve"> there </w:t>
            </w:r>
            <w:r>
              <w:rPr>
                <w:lang w:val="en-GB"/>
              </w:rPr>
              <w:t>be</w:t>
            </w:r>
            <w:r w:rsidRPr="00106A19">
              <w:rPr>
                <w:lang w:val="en-GB"/>
              </w:rPr>
              <w:t xml:space="preserve"> multiple contracts entered into with </w:t>
            </w:r>
            <w:r>
              <w:rPr>
                <w:lang w:val="en-GB"/>
              </w:rPr>
              <w:t>the</w:t>
            </w:r>
            <w:r w:rsidRPr="00106A19">
              <w:rPr>
                <w:lang w:val="en-GB"/>
              </w:rPr>
              <w:t xml:space="preserve"> same client at near the same time, the combination of the contracts is evaluated.</w:t>
            </w:r>
          </w:p>
          <w:p w:rsidR="009275CE" w:rsidRPr="00106A19" w:rsidP="009275CE" w14:paraId="164F3B96" w14:textId="77777777">
            <w:pPr>
              <w:pStyle w:val="Bodytext2"/>
              <w:rPr>
                <w:lang w:val="en-GB"/>
              </w:rPr>
            </w:pPr>
          </w:p>
          <w:p w:rsidR="009275CE" w:rsidRPr="00106A19" w:rsidP="009275CE" w14:paraId="78AD9CAA" w14:textId="19CF3279">
            <w:pPr>
              <w:pStyle w:val="Bodytext2"/>
              <w:rPr>
                <w:lang w:val="en-GB"/>
              </w:rPr>
            </w:pPr>
            <w:r w:rsidRPr="00106A19">
              <w:rPr>
                <w:lang w:val="en-GB"/>
              </w:rPr>
              <w:t>The Group applies the practical</w:t>
            </w:r>
            <w:r w:rsidRPr="00106A19">
              <w:rPr>
                <w:lang w:val="en-GB"/>
              </w:rPr>
              <w:t xml:space="preserve"> expedient according to IFRS 15.63 concerning significant financing components arising from contracts with customers. In case the lead time between the payments specified in the contract and the corresponding transferral of the promised good or service to </w:t>
            </w:r>
            <w:r w:rsidRPr="00106A19">
              <w:rPr>
                <w:lang w:val="en-GB"/>
              </w:rPr>
              <w:t>the customer is one year or less, no adjustment is made for the effect of a possible significant financing component.</w:t>
            </w:r>
          </w:p>
          <w:p w:rsidR="009275CE" w:rsidRPr="00106A19" w:rsidP="009275CE" w14:paraId="37602849" w14:textId="77777777">
            <w:pPr>
              <w:pStyle w:val="Bodytext2"/>
              <w:rPr>
                <w:lang w:val="en-GB"/>
              </w:rPr>
            </w:pPr>
          </w:p>
          <w:p w:rsidR="009275CE" w:rsidRPr="00106A19" w:rsidP="00D879B6" w14:paraId="72B90CD6" w14:textId="714DFCF9">
            <w:pPr>
              <w:pStyle w:val="Bodytext2"/>
              <w:rPr>
                <w:lang w:val="en-GB"/>
              </w:rPr>
            </w:pPr>
            <w:r w:rsidRPr="00106A19">
              <w:rPr>
                <w:lang w:val="en-GB"/>
              </w:rPr>
              <w:t>The Group also applies the practical expedient stated in IFRS 15.94 according to which an entity can recognise the incremental cos</w:t>
            </w:r>
            <w:r w:rsidRPr="00106A19">
              <w:rPr>
                <w:lang w:val="en-GB"/>
              </w:rPr>
              <w:t xml:space="preserve">ts of obtaining a contract as an expense when incurred if the amortisation period of the asset that the entity would have recognised is one year or less. Wärtsilä has not incurred any costs </w:t>
            </w:r>
            <w:r>
              <w:rPr>
                <w:lang w:val="en-GB"/>
              </w:rPr>
              <w:t>for</w:t>
            </w:r>
            <w:r w:rsidRPr="00106A19">
              <w:rPr>
                <w:lang w:val="en-GB"/>
              </w:rPr>
              <w:t xml:space="preserve"> obtaining a contract to be recognised as an asset.</w:t>
            </w:r>
          </w:p>
        </w:tc>
      </w:tr>
    </w:tbl>
    <w:p w:rsidR="009275CE" w:rsidP="009275CE" w14:paraId="4C6E3A6D" w14:textId="68F674CE">
      <w:pPr>
        <w:pStyle w:val="Bodytext2"/>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43460522" w14:textId="77777777" w:rsidTr="00D879B6">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D879B6" w:rsidRPr="00106A19" w:rsidP="00D879B6" w14:paraId="369D9965" w14:textId="77777777">
            <w:pPr>
              <w:pStyle w:val="Heading13"/>
              <w:rPr>
                <w:lang w:val="en-GB"/>
              </w:rPr>
            </w:pPr>
            <w:r w:rsidRPr="00106A19">
              <w:rPr>
                <w:lang w:val="en-GB"/>
              </w:rPr>
              <w:t>Accountin</w:t>
            </w:r>
            <w:r w:rsidRPr="00106A19">
              <w:rPr>
                <w:lang w:val="en-GB"/>
              </w:rPr>
              <w:t>g estimates and judgements</w:t>
            </w:r>
          </w:p>
          <w:p w:rsidR="00D879B6" w:rsidRPr="00106A19" w:rsidP="00D879B6" w14:paraId="7FFADFF6" w14:textId="6889E612">
            <w:pPr>
              <w:pStyle w:val="Bodytext2"/>
              <w:rPr>
                <w:lang w:val="en-GB"/>
              </w:rPr>
            </w:pPr>
            <w:r w:rsidRPr="00106A19">
              <w:rPr>
                <w:lang w:val="en-GB"/>
              </w:rPr>
              <w:t xml:space="preserve">Revenue from certain projects and long-term agreements is recognised over time according to the input method when the profit on the project or agreement can be reliably determined. The progress and the profitability are based on </w:t>
            </w:r>
            <w:r w:rsidRPr="00106A19">
              <w:rPr>
                <w:lang w:val="en-GB"/>
              </w:rPr>
              <w:t xml:space="preserve">the management’s estimates, which require significant judgement concerning the stage of completion, </w:t>
            </w:r>
            <w:r>
              <w:rPr>
                <w:lang w:val="en-GB"/>
              </w:rPr>
              <w:t xml:space="preserve">the </w:t>
            </w:r>
            <w:r w:rsidRPr="00106A19">
              <w:rPr>
                <w:lang w:val="en-GB"/>
              </w:rPr>
              <w:t>cost to complete, and</w:t>
            </w:r>
            <w:r>
              <w:rPr>
                <w:lang w:val="en-GB"/>
              </w:rPr>
              <w:t xml:space="preserve"> the</w:t>
            </w:r>
            <w:r w:rsidRPr="00106A19">
              <w:rPr>
                <w:lang w:val="en-GB"/>
              </w:rPr>
              <w:t xml:space="preserve"> time of completion. These estimates are reviewed</w:t>
            </w:r>
            <w:r>
              <w:rPr>
                <w:lang w:val="en-GB"/>
              </w:rPr>
              <w:t xml:space="preserve"> </w:t>
            </w:r>
            <w:r w:rsidRPr="00106A19">
              <w:rPr>
                <w:lang w:val="en-GB"/>
              </w:rPr>
              <w:t>regularly. Recognised revenue and costs recorded are adjusted during the proj</w:t>
            </w:r>
            <w:r w:rsidRPr="00106A19">
              <w:rPr>
                <w:lang w:val="en-GB"/>
              </w:rPr>
              <w:t xml:space="preserve">ect when assumptions concerning the outcome of the entire project are updated. Changes in assumptions relate to changes in the </w:t>
            </w:r>
            <w:r w:rsidRPr="00106A19">
              <w:rPr>
                <w:lang w:val="en-GB"/>
              </w:rPr>
              <w:t>project’s</w:t>
            </w:r>
            <w:r w:rsidRPr="00106A19">
              <w:rPr>
                <w:lang w:val="en-GB"/>
              </w:rPr>
              <w:t xml:space="preserve"> or agreement’s schedule, </w:t>
            </w:r>
            <w:r>
              <w:rPr>
                <w:lang w:val="en-GB"/>
              </w:rPr>
              <w:t xml:space="preserve">the </w:t>
            </w:r>
            <w:r w:rsidRPr="00106A19">
              <w:rPr>
                <w:lang w:val="en-GB"/>
              </w:rPr>
              <w:t>scope of supply, technology, costs, and any other relevant factors.</w:t>
            </w:r>
          </w:p>
          <w:p w:rsidR="00D879B6" w:rsidRPr="00106A19" w:rsidP="00D879B6" w14:paraId="566EE6CA" w14:textId="77777777">
            <w:pPr>
              <w:pStyle w:val="Bodytext2"/>
              <w:rPr>
                <w:lang w:val="en-GB"/>
              </w:rPr>
            </w:pPr>
          </w:p>
          <w:p w:rsidR="00D879B6" w:rsidRPr="00106A19" w:rsidP="00D879B6" w14:paraId="7798A820" w14:textId="77777777">
            <w:pPr>
              <w:pStyle w:val="Bodytext2"/>
              <w:rPr>
                <w:lang w:val="en-GB"/>
              </w:rPr>
            </w:pPr>
            <w:r w:rsidRPr="00106A19">
              <w:rPr>
                <w:lang w:val="en-GB"/>
              </w:rPr>
              <w:t xml:space="preserve">Establishing whether </w:t>
            </w:r>
            <w:r w:rsidRPr="00106A19">
              <w:rPr>
                <w:lang w:val="en-GB"/>
              </w:rPr>
              <w:t>distinct goods or services are considered as separate performance obligations requires judgement and might impact the timing and amount of revenue recognition.</w:t>
            </w:r>
          </w:p>
          <w:p w:rsidR="00D879B6" w:rsidRPr="00106A19" w:rsidP="00D879B6" w14:paraId="3676BE2D" w14:textId="77777777">
            <w:pPr>
              <w:pStyle w:val="Bodytext2"/>
              <w:rPr>
                <w:lang w:val="en-GB"/>
              </w:rPr>
            </w:pPr>
          </w:p>
          <w:p w:rsidR="00D879B6" w:rsidRPr="00106A19" w:rsidP="00D879B6" w14:paraId="046A8337" w14:textId="77777777">
            <w:pPr>
              <w:pStyle w:val="Bodytext2"/>
              <w:rPr>
                <w:lang w:val="en-GB"/>
              </w:rPr>
            </w:pPr>
            <w:r w:rsidRPr="00106A19">
              <w:rPr>
                <w:lang w:val="en-GB"/>
              </w:rPr>
              <w:t xml:space="preserve">Project business contracts usually involve elements of variable consideration. At each </w:t>
            </w:r>
            <w:r w:rsidRPr="00106A19">
              <w:rPr>
                <w:lang w:val="en-GB"/>
              </w:rPr>
              <w:t>reporting date, management reassesses the transaction price, which requires significant judgement as it affects the timing of the revenue recognition. The valuation of accounts receivables also includes estimates mainly concerning the recoverability of rec</w:t>
            </w:r>
            <w:r w:rsidRPr="00106A19">
              <w:rPr>
                <w:lang w:val="en-GB"/>
              </w:rPr>
              <w:t>eivables.</w:t>
            </w:r>
          </w:p>
          <w:p w:rsidR="00D879B6" w:rsidRPr="00106A19" w:rsidP="00D879B6" w14:paraId="053897AC" w14:textId="77777777">
            <w:pPr>
              <w:pStyle w:val="Bodytext2"/>
              <w:rPr>
                <w:lang w:val="en-GB"/>
              </w:rPr>
            </w:pPr>
          </w:p>
          <w:p w:rsidR="00D879B6" w:rsidRPr="00106A19" w:rsidP="00D879B6" w14:paraId="671F47EC" w14:textId="77777777">
            <w:pPr>
              <w:pStyle w:val="Bodytext2"/>
              <w:rPr>
                <w:lang w:val="en-GB"/>
              </w:rPr>
            </w:pPr>
            <w:r w:rsidRPr="00106A19">
              <w:rPr>
                <w:lang w:val="en-GB"/>
              </w:rPr>
              <w:t xml:space="preserve">Determining whether different contracts with the same customer are accounted for as one contract involves the use of judgement, as it requires </w:t>
            </w:r>
            <w:r>
              <w:rPr>
                <w:lang w:val="en-GB"/>
              </w:rPr>
              <w:t xml:space="preserve">an </w:t>
            </w:r>
            <w:r w:rsidRPr="00106A19">
              <w:rPr>
                <w:lang w:val="en-GB"/>
              </w:rPr>
              <w:t xml:space="preserve">assessment of whether the contracts are negotiated together or linked in any other way. The timing </w:t>
            </w:r>
            <w:r w:rsidRPr="00106A19">
              <w:rPr>
                <w:lang w:val="en-GB"/>
              </w:rPr>
              <w:t>and amount of revenue recognition can vary depending on whether two contracts are accounted for separately, or as one single arrangement.</w:t>
            </w:r>
          </w:p>
          <w:p w:rsidR="00D879B6" w:rsidRPr="00106A19" w:rsidP="00D879B6" w14:paraId="3617098B" w14:textId="77777777">
            <w:pPr>
              <w:pStyle w:val="Bodytext2"/>
              <w:rPr>
                <w:lang w:val="en-GB"/>
              </w:rPr>
            </w:pPr>
          </w:p>
          <w:p w:rsidR="00795DF8" w:rsidRPr="00D879B6" w:rsidP="00D879B6" w14:paraId="3C9BE251" w14:textId="0467BB51">
            <w:pPr>
              <w:pStyle w:val="Bodytext2"/>
              <w:rPr>
                <w:lang w:val="en-GB"/>
              </w:rPr>
            </w:pPr>
            <w:r w:rsidRPr="00106A19">
              <w:rPr>
                <w:lang w:val="en-GB"/>
              </w:rPr>
              <w:t xml:space="preserve">Warranty provisions are recorded on the recognition of revenue. The provision is based on the accumulated experience </w:t>
            </w:r>
            <w:r w:rsidRPr="00106A19">
              <w:rPr>
                <w:lang w:val="en-GB"/>
              </w:rPr>
              <w:t>of the level of warranty needed to manage future and current cost claims. Products can contain new and complex technology that can affect warranty estimates</w:t>
            </w:r>
            <w:r>
              <w:rPr>
                <w:lang w:val="en-GB"/>
              </w:rPr>
              <w:t>,</w:t>
            </w:r>
            <w:r w:rsidRPr="00106A19">
              <w:rPr>
                <w:lang w:val="en-GB"/>
              </w:rPr>
              <w:t xml:space="preserve"> with the result that earlier recognised provisions are not always sufficient</w:t>
            </w:r>
            <w:r w:rsidR="00495BED">
              <w:rPr>
                <w:lang w:val="en-GB"/>
              </w:rPr>
              <w:t>.</w:t>
            </w:r>
          </w:p>
        </w:tc>
      </w:tr>
    </w:tbl>
    <w:p w:rsidR="00421B34" w:rsidRPr="00421B34" w:rsidP="00421B34" w14:paraId="131EC93F" w14:textId="2FFC25A2">
      <w:pPr>
        <w:pStyle w:val="Bodytext2"/>
        <w:rPr>
          <w:sz w:val="2"/>
          <w:szCs w:val="2"/>
        </w:rPr>
      </w:pPr>
      <w:r>
        <w:br w:type="column"/>
      </w:r>
      <w:r w:rsidRPr="00421B34">
        <w:rPr>
          <w:sz w:val="2"/>
          <w:szCs w:val="2"/>
        </w:rPr>
        <w:t xml:space="preserve">     </w:t>
      </w:r>
    </w:p>
    <w:p w:rsidR="009275CE" w:rsidRPr="009275CE" w:rsidP="009275CE" w14:paraId="3BC450F3" w14:textId="52188E7A">
      <w:pPr>
        <w:pStyle w:val="Heading13"/>
      </w:pPr>
      <w:r w:rsidRPr="009275CE">
        <w:t xml:space="preserve">Net </w:t>
      </w:r>
      <w:r w:rsidRPr="009275CE">
        <w:t>sales by revenue type</w:t>
      </w:r>
      <w:r>
        <w:t xml:space="preserve"> and timing of satisfying performance obligations</w:t>
      </w:r>
    </w:p>
    <w:p w:rsidR="009275CE" w:rsidP="009275CE" w14:paraId="75623C96" w14:textId="216608DC">
      <w:pPr>
        <w:pStyle w:val="Bodytext2"/>
      </w:pPr>
    </w:p>
    <w:p w:rsidR="00B4774E" w:rsidP="00B4774E" w14:paraId="75FDC034" w14:textId="205FE919">
      <w:pPr>
        <w:pStyle w:val="Heading13"/>
      </w:pPr>
      <w:r>
        <w:t>2021</w:t>
      </w:r>
    </w:p>
    <w:p w:rsidR="00B4774E" w:rsidRPr="00B4774E" w:rsidP="00421B34" w14:paraId="1A7E32FC" w14:textId="77777777">
      <w:pPr>
        <w:pStyle w:val="Bodytext2"/>
      </w:pPr>
    </w:p>
    <w:tbl>
      <w:tblPr>
        <w:tblStyle w:val="TableNormal"/>
        <w:tblCaption w:val="Table_DOR_cur"/>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Power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Systems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Voyage</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Energy</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Portfolio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Business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At a point in time</w:t>
            </w: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Products</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632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351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1,165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Goods and services</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321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535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Projects</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681</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183</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130</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298</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1,332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1,634</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385</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201</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741</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70</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3,032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Over time</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Projects</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1,252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Long-term agreements</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157</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328</w:t>
            </w: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229</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269</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78</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1,120</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1,746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1,863</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654</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279</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1,861</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121</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4,778</w:t>
            </w:r>
          </w:p>
        </w:tc>
      </w:tr>
    </w:tbl>
    <w:p w:rsidR="00B4774E" w:rsidP="00421B34" w14:paraId="25FB8724" w14:textId="47F3F7E6">
      <w:pPr>
        <w:pStyle w:val="Bodytext2"/>
      </w:pPr>
    </w:p>
    <w:p w:rsidR="00B4774E" w:rsidP="00B4774E" w14:paraId="330313AF" w14:textId="1816DC5F">
      <w:pPr>
        <w:pStyle w:val="Heading13"/>
      </w:pPr>
      <w:r>
        <w:t>2020</w:t>
      </w:r>
    </w:p>
    <w:p w:rsidR="00B4774E" w:rsidRPr="00B4774E" w:rsidP="00421B34" w14:paraId="4010DA0A" w14:textId="77777777">
      <w:pPr>
        <w:pStyle w:val="Bodytext2"/>
      </w:pPr>
    </w:p>
    <w:tbl>
      <w:tblPr>
        <w:tblStyle w:val="TableNormal"/>
        <w:tblCaption w:val="Table_DOR_pre"/>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Power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Systems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Voyage</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Energy</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Portfolio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Business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At a point in time</w:t>
            </w: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Products</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586</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139</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319</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1,091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Goods and services</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309</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60</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47</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88</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00000"/>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Projects</w:t>
            </w:r>
          </w:p>
        </w:tc>
        <w:tc>
          <w:tcPr>
            <w:tcW w:w="870" w:type="dxa"/>
            <w:tcBorders>
              <w:top w:val="single" w:sz="4" w:space="0" w:color="004A6B"/>
              <w:left w:val="nil"/>
              <w:bottom w:val="single" w:sz="8"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641</w:t>
            </w:r>
          </w:p>
        </w:tc>
        <w:tc>
          <w:tcPr>
            <w:tcW w:w="870" w:type="dxa"/>
            <w:tcBorders>
              <w:top w:val="single" w:sz="4" w:space="0" w:color="004A6B"/>
              <w:left w:val="nil"/>
              <w:bottom w:val="single" w:sz="8"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347</w:t>
            </w:r>
          </w:p>
        </w:tc>
        <w:tc>
          <w:tcPr>
            <w:tcW w:w="870" w:type="dxa"/>
            <w:tcBorders>
              <w:top w:val="single" w:sz="4" w:space="0" w:color="004A6B"/>
              <w:left w:val="nil"/>
              <w:bottom w:val="single" w:sz="8"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102</w:t>
            </w:r>
          </w:p>
        </w:tc>
        <w:tc>
          <w:tcPr>
            <w:tcW w:w="870" w:type="dxa"/>
            <w:tcBorders>
              <w:top w:val="single" w:sz="4" w:space="0" w:color="004A6B"/>
              <w:left w:val="nil"/>
              <w:bottom w:val="single" w:sz="8"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402</w:t>
            </w:r>
          </w:p>
        </w:tc>
        <w:tc>
          <w:tcPr>
            <w:tcW w:w="870" w:type="dxa"/>
            <w:tcBorders>
              <w:top w:val="single" w:sz="4" w:space="0" w:color="004A6B"/>
              <w:left w:val="nil"/>
              <w:bottom w:val="single" w:sz="8"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56</w:t>
            </w:r>
          </w:p>
        </w:tc>
        <w:tc>
          <w:tcPr>
            <w:tcW w:w="87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1,548</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00000"/>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870" w:type="dxa"/>
            <w:tcBorders>
              <w:top w:val="single" w:sz="8" w:space="0" w:color="000000"/>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1,536</w:t>
            </w:r>
          </w:p>
        </w:tc>
        <w:tc>
          <w:tcPr>
            <w:tcW w:w="870" w:type="dxa"/>
            <w:tcBorders>
              <w:top w:val="single" w:sz="8" w:space="0" w:color="000000"/>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546</w:t>
            </w:r>
          </w:p>
        </w:tc>
        <w:tc>
          <w:tcPr>
            <w:tcW w:w="870" w:type="dxa"/>
            <w:tcBorders>
              <w:top w:val="single" w:sz="8" w:space="0" w:color="000000"/>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169</w:t>
            </w:r>
          </w:p>
        </w:tc>
        <w:tc>
          <w:tcPr>
            <w:tcW w:w="870" w:type="dxa"/>
            <w:tcBorders>
              <w:top w:val="single" w:sz="8" w:space="0" w:color="000000"/>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809</w:t>
            </w:r>
          </w:p>
        </w:tc>
        <w:tc>
          <w:tcPr>
            <w:tcW w:w="870" w:type="dxa"/>
            <w:tcBorders>
              <w:top w:val="single" w:sz="8" w:space="0" w:color="000000"/>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w:t>
            </w:r>
          </w:p>
        </w:tc>
        <w:tc>
          <w:tcPr>
            <w:tcW w:w="87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3,150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Over time</w:t>
            </w: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Projects</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71</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259</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71</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517</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91</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1,010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Long-term agreements</w:t>
            </w:r>
          </w:p>
        </w:tc>
        <w:tc>
          <w:tcPr>
            <w:tcW w:w="87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142</w:t>
            </w:r>
          </w:p>
        </w:tc>
        <w:tc>
          <w:tcPr>
            <w:tcW w:w="87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c>
          <w:tcPr>
            <w:tcW w:w="87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293</w:t>
            </w:r>
          </w:p>
        </w:tc>
        <w:tc>
          <w:tcPr>
            <w:tcW w:w="870"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445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87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213</w:t>
            </w:r>
          </w:p>
        </w:tc>
        <w:tc>
          <w:tcPr>
            <w:tcW w:w="87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261</w:t>
            </w:r>
          </w:p>
        </w:tc>
        <w:tc>
          <w:tcPr>
            <w:tcW w:w="87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79</w:t>
            </w:r>
          </w:p>
        </w:tc>
        <w:tc>
          <w:tcPr>
            <w:tcW w:w="87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811</w:t>
            </w:r>
          </w:p>
        </w:tc>
        <w:tc>
          <w:tcPr>
            <w:tcW w:w="87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92</w:t>
            </w:r>
          </w:p>
        </w:tc>
        <w:tc>
          <w:tcPr>
            <w:tcW w:w="87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1,455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87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1,748</w:t>
            </w:r>
          </w:p>
        </w:tc>
        <w:tc>
          <w:tcPr>
            <w:tcW w:w="87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808</w:t>
            </w:r>
          </w:p>
        </w:tc>
        <w:tc>
          <w:tcPr>
            <w:tcW w:w="87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248</w:t>
            </w:r>
          </w:p>
        </w:tc>
        <w:tc>
          <w:tcPr>
            <w:tcW w:w="87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1,620</w:t>
            </w:r>
          </w:p>
        </w:tc>
        <w:tc>
          <w:tcPr>
            <w:tcW w:w="87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181</w:t>
            </w:r>
          </w:p>
        </w:tc>
        <w:tc>
          <w:tcPr>
            <w:tcW w:w="87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4,604</w:t>
            </w:r>
          </w:p>
        </w:tc>
      </w:tr>
    </w:tbl>
    <w:p/>
    <w:p w:rsidR="00283B8E" w:rsidRPr="00283B8E" w:rsidP="00283B8E" w14:paraId="4FCC8989" w14:textId="77777777">
      <w:pPr>
        <w:pStyle w:val="Heading12"/>
      </w:pPr>
      <w:bookmarkStart w:id="1458" w:name="RG_MARKER_7344"/>
      <w:r w:rsidRPr="00283B8E">
        <w:t>2.3. OTHER OPERATING INCOME AND EXPENSES</w:t>
      </w:r>
      <w:bookmarkEnd w:id="1458"/>
    </w:p>
    <w:tbl>
      <w:tblPr>
        <w:tblStyle w:val="TableGrid"/>
        <w:tblW w:w="7371" w:type="dxa"/>
        <w:tblLook w:val="04A0"/>
      </w:tblPr>
      <w:tblGrid>
        <w:gridCol w:w="7371"/>
      </w:tblGrid>
      <w:tr w14:paraId="674C52C3" w14:textId="77777777" w:rsidTr="00283B8E">
        <w:tblPrEx>
          <w:tblW w:w="7371" w:type="dxa"/>
          <w:tblLook w:val="04A0"/>
        </w:tblPrEx>
        <w:tc>
          <w:tcPr>
            <w:tcW w:w="6683" w:type="dxa"/>
            <w:tcBorders>
              <w:top w:val="nil"/>
              <w:left w:val="nil"/>
              <w:bottom w:val="nil"/>
              <w:right w:val="nil"/>
            </w:tcBorders>
            <w:shd w:val="clear" w:color="auto" w:fill="B6C8D1"/>
          </w:tcPr>
          <w:p w:rsidR="00283B8E" w:rsidRPr="00D04B16" w:rsidP="00283B8E" w14:paraId="74C51B84" w14:textId="77777777">
            <w:pPr>
              <w:pStyle w:val="Heading13"/>
              <w:rPr>
                <w:lang w:val="en-GB"/>
              </w:rPr>
            </w:pPr>
            <w:bookmarkStart w:id="1459" w:name="_Hlk47444713"/>
            <w:r w:rsidRPr="00D04B16">
              <w:rPr>
                <w:lang w:val="en-GB"/>
              </w:rPr>
              <w:t>Accounting principles</w:t>
            </w:r>
          </w:p>
          <w:p w:rsidR="00283B8E" w:rsidRPr="00D04B16" w:rsidP="00283B8E" w14:paraId="48BD937C" w14:textId="7B254138">
            <w:pPr>
              <w:pStyle w:val="Bodytext2"/>
              <w:rPr>
                <w:lang w:val="en-GB"/>
              </w:rPr>
            </w:pPr>
            <w:r w:rsidRPr="00D04B16">
              <w:rPr>
                <w:lang w:val="en-GB"/>
              </w:rPr>
              <w:t>Other operating income and expenses comprise income and expenses that do not directly relate to the operating</w:t>
            </w:r>
            <w:r>
              <w:rPr>
                <w:lang w:val="en-GB"/>
              </w:rPr>
              <w:t xml:space="preserve"> activities.</w:t>
            </w:r>
          </w:p>
          <w:p w:rsidR="00283B8E" w:rsidRPr="00D04B16" w:rsidP="00283B8E" w14:paraId="2BCFD1B1" w14:textId="77777777">
            <w:pPr>
              <w:pStyle w:val="Bodytext2"/>
              <w:rPr>
                <w:lang w:val="en-GB"/>
              </w:rPr>
            </w:pPr>
          </w:p>
          <w:p w:rsidR="00283B8E" w:rsidRPr="00D04B16" w:rsidP="00283B8E" w14:paraId="5EAC3E61" w14:textId="07059870">
            <w:pPr>
              <w:pStyle w:val="Bodytext2"/>
              <w:rPr>
                <w:lang w:val="en-GB"/>
              </w:rPr>
            </w:pPr>
            <w:r w:rsidRPr="00D04B16">
              <w:rPr>
                <w:lang w:val="en-GB"/>
              </w:rPr>
              <w:t>Other operating income includes</w:t>
            </w:r>
            <w:r>
              <w:rPr>
                <w:lang w:val="en-GB"/>
              </w:rPr>
              <w:t>, for example,</w:t>
            </w:r>
            <w:r w:rsidRPr="00D04B16">
              <w:rPr>
                <w:lang w:val="en-GB"/>
              </w:rPr>
              <w:t xml:space="preserve"> gains from </w:t>
            </w:r>
            <w:r>
              <w:rPr>
                <w:lang w:val="en-GB"/>
              </w:rPr>
              <w:t xml:space="preserve">the </w:t>
            </w:r>
            <w:r w:rsidRPr="00D04B16">
              <w:rPr>
                <w:lang w:val="en-GB"/>
              </w:rPr>
              <w:t xml:space="preserve">sale </w:t>
            </w:r>
            <w:r w:rsidRPr="00D04B16">
              <w:rPr>
                <w:lang w:val="en-GB"/>
              </w:rPr>
              <w:t>of assets and regular incomes, such as rental income</w:t>
            </w:r>
            <w:r>
              <w:rPr>
                <w:lang w:val="en-GB"/>
              </w:rPr>
              <w:t>,</w:t>
            </w:r>
            <w:r w:rsidRPr="00D04B16">
              <w:rPr>
                <w:lang w:val="en-GB"/>
              </w:rPr>
              <w:t xml:space="preserve"> and gains relating to business combinations, which have not been derived from primary activities. Other operating income includes also grants. Government</w:t>
            </w:r>
            <w:r>
              <w:rPr>
                <w:lang w:val="en-GB"/>
              </w:rPr>
              <w:t>al</w:t>
            </w:r>
            <w:r w:rsidRPr="00D04B16">
              <w:rPr>
                <w:lang w:val="en-GB"/>
              </w:rPr>
              <w:t xml:space="preserve"> </w:t>
            </w:r>
            <w:r>
              <w:rPr>
                <w:lang w:val="en-GB"/>
              </w:rPr>
              <w:t>and</w:t>
            </w:r>
            <w:r w:rsidRPr="00D04B16">
              <w:rPr>
                <w:lang w:val="en-GB"/>
              </w:rPr>
              <w:t xml:space="preserve"> other grants are recognised in the</w:t>
            </w:r>
            <w:r>
              <w:rPr>
                <w:lang w:val="en-GB"/>
              </w:rPr>
              <w:t xml:space="preserve"> stateme</w:t>
            </w:r>
            <w:r>
              <w:rPr>
                <w:lang w:val="en-GB"/>
              </w:rPr>
              <w:t xml:space="preserve">nt of </w:t>
            </w:r>
            <w:r w:rsidRPr="00D04B16">
              <w:rPr>
                <w:lang w:val="en-GB"/>
              </w:rPr>
              <w:t>income on a systematic basis in the same periods in which the expenses are incurred.</w:t>
            </w:r>
          </w:p>
          <w:p w:rsidR="00283B8E" w:rsidRPr="00D04B16" w:rsidP="00283B8E" w14:paraId="10E1E93B" w14:textId="77777777">
            <w:pPr>
              <w:pStyle w:val="Bodytext2"/>
              <w:rPr>
                <w:lang w:val="en-GB"/>
              </w:rPr>
            </w:pPr>
          </w:p>
          <w:p w:rsidR="00283B8E" w:rsidRPr="00D04B16" w:rsidP="00D04B16" w14:paraId="3AC30966" w14:textId="7C44D5A6">
            <w:pPr>
              <w:pStyle w:val="Bodytext2"/>
              <w:rPr>
                <w:lang w:val="en-GB"/>
              </w:rPr>
            </w:pPr>
            <w:bookmarkStart w:id="1460" w:name="_Hlk47443497"/>
            <w:r w:rsidRPr="00D04B16">
              <w:rPr>
                <w:lang w:val="en-GB"/>
              </w:rPr>
              <w:t>Other operating expenses include</w:t>
            </w:r>
            <w:r>
              <w:rPr>
                <w:lang w:val="en-GB"/>
              </w:rPr>
              <w:t>,</w:t>
            </w:r>
            <w:r w:rsidRPr="00D04B16">
              <w:rPr>
                <w:lang w:val="en-GB"/>
              </w:rPr>
              <w:t xml:space="preserve"> for example</w:t>
            </w:r>
            <w:r>
              <w:rPr>
                <w:lang w:val="en-GB"/>
              </w:rPr>
              <w:t>,</w:t>
            </w:r>
            <w:r w:rsidRPr="00D04B16">
              <w:rPr>
                <w:lang w:val="en-GB"/>
              </w:rPr>
              <w:t xml:space="preserve"> travel costs, legal and consultancy costs, rental costs, voluntary personnel related costs, and administrative costs.</w:t>
            </w:r>
            <w:r w:rsidRPr="00D04B16">
              <w:rPr>
                <w:lang w:val="en-GB"/>
              </w:rPr>
              <w:t xml:space="preserve"> Also</w:t>
            </w:r>
            <w:r>
              <w:rPr>
                <w:lang w:val="en-GB"/>
              </w:rPr>
              <w:t>,</w:t>
            </w:r>
            <w:r w:rsidRPr="00D04B16">
              <w:rPr>
                <w:lang w:val="en-GB"/>
              </w:rPr>
              <w:t xml:space="preserve"> </w:t>
            </w:r>
            <w:r w:rsidRPr="00977D3D">
              <w:rPr>
                <w:lang w:val="en-GB"/>
              </w:rPr>
              <w:t>expenses related to short-term lease contracts and lease contracts of low-value assets</w:t>
            </w:r>
            <w:r>
              <w:rPr>
                <w:lang w:val="en-GB"/>
              </w:rPr>
              <w:t xml:space="preserve"> are</w:t>
            </w:r>
            <w:r w:rsidRPr="00D04B16">
              <w:rPr>
                <w:lang w:val="en-GB"/>
              </w:rPr>
              <w:t xml:space="preserve"> recognised in other operating expenses</w:t>
            </w:r>
            <w:bookmarkEnd w:id="1460"/>
            <w:r>
              <w:rPr>
                <w:lang w:val="en-GB"/>
              </w:rPr>
              <w:t xml:space="preserve">. </w:t>
            </w:r>
            <w:r w:rsidRPr="00D04B16">
              <w:rPr>
                <w:lang w:val="en-GB"/>
              </w:rPr>
              <w:t xml:space="preserve">In addition, losses related to </w:t>
            </w:r>
            <w:r>
              <w:rPr>
                <w:lang w:val="en-GB"/>
              </w:rPr>
              <w:t xml:space="preserve">the </w:t>
            </w:r>
            <w:r w:rsidRPr="00D04B16">
              <w:rPr>
                <w:lang w:val="en-GB"/>
              </w:rPr>
              <w:t>sale of assets</w:t>
            </w:r>
            <w:r>
              <w:rPr>
                <w:lang w:val="en-GB"/>
              </w:rPr>
              <w:t>,</w:t>
            </w:r>
            <w:r w:rsidRPr="00D04B16">
              <w:rPr>
                <w:lang w:val="en-GB"/>
              </w:rPr>
              <w:t xml:space="preserve"> as well as losses arising from modifications and terminations of le</w:t>
            </w:r>
            <w:r w:rsidRPr="00D04B16">
              <w:rPr>
                <w:lang w:val="en-GB"/>
              </w:rPr>
              <w:t>ase agreements</w:t>
            </w:r>
            <w:r>
              <w:rPr>
                <w:lang w:val="en-GB"/>
              </w:rPr>
              <w:t>,</w:t>
            </w:r>
            <w:r w:rsidRPr="00D04B16">
              <w:rPr>
                <w:lang w:val="en-GB"/>
              </w:rPr>
              <w:t xml:space="preserve"> are recognised in other operating expenses.</w:t>
            </w:r>
            <w:bookmarkEnd w:id="1459"/>
          </w:p>
        </w:tc>
      </w:tr>
    </w:tbl>
    <w:p w:rsidR="00283B8E" w:rsidRPr="00283B8E" w:rsidP="00283B8E" w14:paraId="760FF255" w14:textId="77777777">
      <w:pPr>
        <w:pStyle w:val="Bodytext2"/>
      </w:pPr>
    </w:p>
    <w:p w:rsidR="00283B8E" w:rsidRPr="00283B8E" w:rsidP="00283B8E" w14:paraId="5CD08B82" w14:textId="77777777">
      <w:pPr>
        <w:pStyle w:val="Heading13"/>
      </w:pPr>
      <w:r w:rsidRPr="00283B8E">
        <w:t>Other operating income</w:t>
      </w:r>
    </w:p>
    <w:p w:rsidR="00283B8E" w:rsidRPr="00283B8E" w:rsidP="00283B8E" w14:paraId="4784D1F8" w14:textId="77777777">
      <w:pPr>
        <w:pStyle w:val="Bodytext2"/>
      </w:pPr>
    </w:p>
    <w:tbl>
      <w:tblPr>
        <w:tblStyle w:val="TableNormal"/>
        <w:tblCaption w:val="Table_Other_Operating_income"/>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Capital gains</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Government grants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 of scrapped material</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 of by-products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Income related to cancelled orders*</w:t>
            </w:r>
          </w:p>
        </w:tc>
        <w:tc>
          <w:tcPr>
            <w:tcW w:w="12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12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Insurance indemnities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Gains on derivatives not included in hedge accounting and ineffective hedging**</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r>
    </w:tbl>
    <w:p w:rsidR="00283B8E" w:rsidRPr="00283B8E" w:rsidP="00283B8E" w14:paraId="0BAB0649" w14:textId="77777777">
      <w:pPr>
        <w:pStyle w:val="Bodytext2"/>
      </w:pPr>
    </w:p>
    <w:p w:rsidR="00283B8E" w:rsidP="00283B8E" w14:paraId="3B1CE241" w14:textId="283B09AC">
      <w:pPr>
        <w:pStyle w:val="Bodytext2"/>
      </w:pPr>
      <w:r w:rsidRPr="00283B8E">
        <w:t>* Expenses related to cancelled orders are reco</w:t>
      </w:r>
      <w:r>
        <w:t>gnised</w:t>
      </w:r>
      <w:r w:rsidRPr="00283B8E">
        <w:t xml:space="preserve"> on respective expense accounts.</w:t>
      </w:r>
    </w:p>
    <w:p w:rsidR="00BB69C9" w:rsidRPr="00283B8E" w:rsidP="00283B8E" w14:paraId="7BEEC780" w14:textId="51C799DF">
      <w:pPr>
        <w:pStyle w:val="Bodytext2"/>
      </w:pPr>
      <w:r>
        <w:t>** The portion of ineffective hedging is EUR 2 mi</w:t>
      </w:r>
      <w:r>
        <w:t xml:space="preserve">llion. </w:t>
      </w:r>
    </w:p>
    <w:p w:rsidR="00283B8E" w:rsidRPr="00E85FC4" w:rsidP="00283B8E" w14:paraId="286F735D" w14:textId="635AAA10">
      <w:pPr>
        <w:pStyle w:val="Bodytext2"/>
      </w:pPr>
      <w:r w:rsidRPr="00E85FC4">
        <w:t>**</w:t>
      </w:r>
      <w:r>
        <w:t>*</w:t>
      </w:r>
      <w:r w:rsidRPr="00E85FC4">
        <w:t xml:space="preserve"> Other does not include any significant single items.</w:t>
      </w:r>
    </w:p>
    <w:p w:rsidR="0004444C" w:rsidRPr="0004444C" w:rsidP="0004444C" w14:paraId="3B4EFE8B" w14:textId="00B0C761">
      <w:pPr>
        <w:pStyle w:val="Bodytext2"/>
        <w:rPr>
          <w:sz w:val="2"/>
          <w:szCs w:val="2"/>
        </w:rPr>
      </w:pPr>
      <w:r>
        <w:br w:type="column"/>
      </w:r>
      <w:r w:rsidRPr="0004444C">
        <w:rPr>
          <w:sz w:val="2"/>
          <w:szCs w:val="2"/>
        </w:rPr>
        <w:t xml:space="preserve">     </w:t>
      </w:r>
    </w:p>
    <w:p w:rsidR="00283B8E" w:rsidRPr="00E85FC4" w:rsidP="00283B8E" w14:paraId="410FE7F4" w14:textId="4730EF09">
      <w:pPr>
        <w:pStyle w:val="Heading13"/>
      </w:pPr>
      <w:r w:rsidRPr="00E85FC4">
        <w:t>Other operating expenses</w:t>
      </w:r>
    </w:p>
    <w:p w:rsidR="00283B8E" w:rsidRPr="00E85FC4" w:rsidP="00283B8E" w14:paraId="1A4258C7" w14:textId="77777777">
      <w:pPr>
        <w:pStyle w:val="Bodytext2"/>
      </w:pPr>
    </w:p>
    <w:tbl>
      <w:tblPr>
        <w:tblStyle w:val="TableNormal"/>
        <w:tblCaption w:val="table_other_operating_expenses"/>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Travel costs</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84</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Rental costs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Legal and consultancy costs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Information technology costs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66</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personnel related costs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Administrative costs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Losses on derivatives not included in hedge accounting and ineffective hedging*</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97</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467</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431</w:t>
            </w:r>
          </w:p>
        </w:tc>
      </w:tr>
    </w:tbl>
    <w:p w:rsidR="00283B8E" w:rsidRPr="00E85FC4" w:rsidP="00283B8E" w14:paraId="0EE4ACA4" w14:textId="77777777">
      <w:pPr>
        <w:pStyle w:val="Bodytext2"/>
      </w:pPr>
    </w:p>
    <w:p w:rsidR="00BB69C9" w:rsidP="00283B8E" w14:paraId="11CBD15A" w14:textId="44889662">
      <w:pPr>
        <w:pStyle w:val="Bodytext2"/>
      </w:pPr>
      <w:r w:rsidRPr="00E85FC4">
        <w:t xml:space="preserve">* </w:t>
      </w:r>
      <w:r>
        <w:t>The portion of ineffective hedging is EUR 4 million.</w:t>
      </w:r>
    </w:p>
    <w:p w:rsidR="007E4F71" w:rsidP="00283B8E" w14:paraId="463E2E6D" w14:textId="5A87DA1F">
      <w:pPr>
        <w:pStyle w:val="Bodytext2"/>
      </w:pPr>
      <w:r>
        <w:t xml:space="preserve">** </w:t>
      </w:r>
      <w:r w:rsidRPr="00E85FC4">
        <w:t>Other does not include any significant single items.</w:t>
      </w:r>
    </w:p>
    <w:p w:rsidR="007E4F71" w:rsidRPr="00B05CCF" w:rsidP="00B05CCF" w14:paraId="28C7BEE4" w14:textId="11F2EC53">
      <w:pPr>
        <w:pStyle w:val="Bodytext2"/>
      </w:pPr>
    </w:p>
    <w:p w:rsidR="00B14CC9" w:rsidRPr="00FB7FAB" w:rsidP="00283B8E" w14:textId="2F5251D7">
      <w:pPr>
        <w:pStyle w:val="Bodytext2"/>
      </w:pPr>
      <w:r w:rsidRPr="00B05CCF">
        <w:t xml:space="preserve">As of 1 </w:t>
      </w:r>
      <w:r w:rsidRPr="00B05CCF">
        <w:t xml:space="preserve">January 2021, ineffectiveness arising from hedges included in hedge accounting are recognised in other operating income, other operating expenses or financial income and expenses depending on where the underlying hedged item is recognised in the statement </w:t>
      </w:r>
      <w:r w:rsidRPr="00B05CCF">
        <w:t xml:space="preserve">of income. More information on this change in accounting principles </w:t>
      </w:r>
      <w:r w:rsidR="00B05CCF">
        <w:t xml:space="preserve">is </w:t>
      </w:r>
      <w:r w:rsidRPr="00B05CCF">
        <w:t>available in 1.5. Changes in accounting principles.</w:t>
      </w:r>
    </w:p>
    <w:p/>
    <w:p w:rsidR="00B000E2" w:rsidRPr="00B000E2" w:rsidP="00B000E2" w14:paraId="599B891F" w14:textId="77777777">
      <w:pPr>
        <w:pStyle w:val="Heading12"/>
      </w:pPr>
      <w:bookmarkStart w:id="1461" w:name="RG_MARKER_7343"/>
      <w:r w:rsidRPr="00B000E2">
        <w:t>2.4. MATERIAL AND SERVICES</w:t>
      </w:r>
      <w:bookmarkEnd w:id="1461"/>
    </w:p>
    <w:tbl>
      <w:tblPr>
        <w:tblStyle w:val="TableGrid"/>
        <w:tblW w:w="7371" w:type="dxa"/>
        <w:tblLook w:val="04A0"/>
      </w:tblPr>
      <w:tblGrid>
        <w:gridCol w:w="7371"/>
      </w:tblGrid>
      <w:tr w14:paraId="366465BE" w14:textId="77777777" w:rsidTr="00B000E2">
        <w:tblPrEx>
          <w:tblW w:w="7371" w:type="dxa"/>
          <w:tblLook w:val="04A0"/>
        </w:tblPrEx>
        <w:tc>
          <w:tcPr>
            <w:tcW w:w="6339" w:type="dxa"/>
            <w:tcBorders>
              <w:top w:val="nil"/>
              <w:left w:val="nil"/>
              <w:bottom w:val="nil"/>
              <w:right w:val="nil"/>
            </w:tcBorders>
            <w:shd w:val="clear" w:color="auto" w:fill="B6C8D1"/>
            <w:hideMark/>
          </w:tcPr>
          <w:p w:rsidR="00B000E2" w:rsidRPr="00934CA2" w:rsidP="00B000E2" w14:paraId="3EE86093" w14:textId="77777777">
            <w:pPr>
              <w:pStyle w:val="Heading13"/>
              <w:rPr>
                <w:lang w:val="en-GB"/>
              </w:rPr>
            </w:pPr>
            <w:r w:rsidRPr="00934CA2">
              <w:rPr>
                <w:lang w:val="en-GB"/>
              </w:rPr>
              <w:t>Accounting principles</w:t>
            </w:r>
          </w:p>
          <w:p w:rsidR="00B000E2" w:rsidRPr="00934CA2" w:rsidP="00B000E2" w14:paraId="73CDB9F8" w14:textId="3C75C34C">
            <w:pPr>
              <w:pStyle w:val="Bodytext2"/>
              <w:rPr>
                <w:lang w:val="en-GB"/>
              </w:rPr>
            </w:pPr>
            <w:r w:rsidRPr="00934CA2">
              <w:rPr>
                <w:lang w:val="en-GB"/>
              </w:rPr>
              <w:t>Material and services expenses</w:t>
            </w:r>
            <w:r>
              <w:rPr>
                <w:lang w:val="en-GB"/>
              </w:rPr>
              <w:t xml:space="preserve"> relate to</w:t>
            </w:r>
            <w:r w:rsidRPr="00934CA2">
              <w:rPr>
                <w:lang w:val="en-GB"/>
              </w:rPr>
              <w:t xml:space="preserve"> purchases of goods and consumables from suppliers for manufacturing less discounts and </w:t>
            </w:r>
            <w:r>
              <w:rPr>
                <w:lang w:val="en-GB"/>
              </w:rPr>
              <w:t>tax refunds related to purchases</w:t>
            </w:r>
            <w:r w:rsidRPr="00934CA2">
              <w:rPr>
                <w:lang w:val="en-GB"/>
              </w:rPr>
              <w:t>. Exchange gains or losses on accounts payable are included.</w:t>
            </w:r>
          </w:p>
        </w:tc>
      </w:tr>
    </w:tbl>
    <w:p w:rsidR="00B000E2" w:rsidRPr="00B000E2" w:rsidP="00B000E2" w14:paraId="449FED3C" w14:textId="77777777">
      <w:pPr>
        <w:pStyle w:val="Bodytext2"/>
      </w:pPr>
    </w:p>
    <w:tbl>
      <w:tblPr>
        <w:tblStyle w:val="TableNormal"/>
        <w:tblCaption w:val="Table_Material_and_services"/>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Purchases during the financial period</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-1,679</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-1,475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 in inventories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External services</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-1,030</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-1,026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-2,714</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-2,551</w:t>
            </w:r>
          </w:p>
        </w:tc>
      </w:tr>
    </w:tbl>
    <w:p w:rsidR="00B14CC9" w:rsidRPr="00EE665A" w:rsidP="00F84EF0" w14:textId="50982310">
      <w:pPr>
        <w:pStyle w:val="Bodytext2"/>
        <w:spacing w:before="0"/>
        <w:rPr>
          <w:sz w:val="2"/>
          <w:szCs w:val="2"/>
        </w:rPr>
      </w:pPr>
      <w:r>
        <w:br w:type="column"/>
      </w:r>
      <w:r w:rsidRPr="00F84EF0">
        <w:rPr>
          <w:sz w:val="2"/>
          <w:szCs w:val="2"/>
        </w:rPr>
        <w:t xml:space="preserve">     </w:t>
      </w:r>
    </w:p>
    <w:p w:rsidR="003B7706" w:rsidRPr="003B7706" w:rsidP="003B7706" w14:paraId="1C016E65" w14:textId="77777777">
      <w:pPr>
        <w:pStyle w:val="Heading12"/>
      </w:pPr>
      <w:bookmarkStart w:id="1462" w:name="RG_MARKER_7342"/>
      <w:r w:rsidRPr="003B7706">
        <w:t>2.5. EMPLOYEE BENEFIT EXPENSES</w:t>
      </w:r>
      <w:bookmarkEnd w:id="1462"/>
    </w:p>
    <w:tbl>
      <w:tblPr>
        <w:tblStyle w:val="TableGrid"/>
        <w:tblW w:w="7371" w:type="dxa"/>
        <w:tblLook w:val="04A0"/>
      </w:tblPr>
      <w:tblGrid>
        <w:gridCol w:w="7371"/>
      </w:tblGrid>
      <w:tr w14:paraId="229C65FE" w14:textId="77777777" w:rsidTr="003B7706">
        <w:tblPrEx>
          <w:tblW w:w="7371" w:type="dxa"/>
          <w:tblLook w:val="04A0"/>
        </w:tblPrEx>
        <w:tc>
          <w:tcPr>
            <w:tcW w:w="6683" w:type="dxa"/>
            <w:tcBorders>
              <w:top w:val="nil"/>
              <w:left w:val="nil"/>
              <w:bottom w:val="nil"/>
              <w:right w:val="nil"/>
            </w:tcBorders>
            <w:shd w:val="clear" w:color="auto" w:fill="B6C8D1"/>
          </w:tcPr>
          <w:p w:rsidR="003B7706" w:rsidRPr="00CE381E" w:rsidP="003B7706" w14:paraId="7DF4EAE2" w14:textId="77777777">
            <w:pPr>
              <w:pStyle w:val="Heading13"/>
              <w:rPr>
                <w:lang w:val="en-GB"/>
              </w:rPr>
            </w:pPr>
            <w:r w:rsidRPr="00CE381E">
              <w:rPr>
                <w:lang w:val="en-GB"/>
              </w:rPr>
              <w:t>Accounting principles</w:t>
            </w:r>
          </w:p>
          <w:p w:rsidR="003B7706" w:rsidRPr="005A24E9" w:rsidP="005A24E9" w14:paraId="37E3EA45" w14:textId="553E6FA2">
            <w:pPr>
              <w:pStyle w:val="Bodytext2"/>
              <w:rPr>
                <w:lang w:val="en-GB"/>
              </w:rPr>
            </w:pPr>
            <w:r w:rsidRPr="005A24E9">
              <w:rPr>
                <w:lang w:val="en-GB"/>
              </w:rPr>
              <w:t>Employee benefits are all forms of consideration given in exchange for services</w:t>
            </w:r>
            <w:r w:rsidRPr="005A24E9">
              <w:rPr>
                <w:lang w:val="en-GB"/>
              </w:rPr>
              <w:t xml:space="preserve"> rendered by employees or for the termination of employment. In addition, the Group has personnel expenses related to share-based payments and other personnel expenses.</w:t>
            </w:r>
          </w:p>
          <w:p w:rsidR="003B7706" w:rsidRPr="005A24E9" w:rsidP="005A24E9" w14:paraId="3D9F30CF" w14:textId="77777777">
            <w:pPr>
              <w:pStyle w:val="Bodytext2"/>
              <w:rPr>
                <w:lang w:val="en-GB"/>
              </w:rPr>
            </w:pPr>
          </w:p>
          <w:p w:rsidR="00D75B67" w:rsidRPr="005A24E9" w:rsidP="005A24E9" w14:paraId="0A491A28" w14:textId="394F3C21">
            <w:pPr>
              <w:pStyle w:val="Bodytext2"/>
              <w:rPr>
                <w:lang w:val="en-GB"/>
              </w:rPr>
            </w:pPr>
            <w:r w:rsidRPr="005A24E9">
              <w:rPr>
                <w:lang w:val="en-GB"/>
              </w:rPr>
              <w:t>The measurement of the share-based long-term incentive schemes is dependent on the ter</w:t>
            </w:r>
            <w:r w:rsidRPr="005A24E9">
              <w:rPr>
                <w:lang w:val="en-GB"/>
              </w:rPr>
              <w:t xml:space="preserve">ms of the respective scheme. </w:t>
            </w:r>
            <w:r w:rsidRPr="005A24E9" w:rsidR="00DC014C">
              <w:rPr>
                <w:lang w:val="en-GB"/>
              </w:rPr>
              <w:t>Incentive rights</w:t>
            </w:r>
            <w:r w:rsidRPr="005A24E9">
              <w:rPr>
                <w:lang w:val="en-GB"/>
              </w:rPr>
              <w:t>, which are settled with company’s shares</w:t>
            </w:r>
            <w:r w:rsidRPr="005A24E9" w:rsidR="00DC014C">
              <w:rPr>
                <w:lang w:val="en-GB"/>
              </w:rPr>
              <w:t>, are measured at fair value at grant date</w:t>
            </w:r>
            <w:r w:rsidRPr="005A24E9">
              <w:rPr>
                <w:lang w:val="en-GB"/>
              </w:rPr>
              <w:t>. Incentive rights, which are settled with cash</w:t>
            </w:r>
            <w:r>
              <w:rPr>
                <w:lang w:val="en-GB"/>
              </w:rPr>
              <w:t>,</w:t>
            </w:r>
            <w:r w:rsidRPr="005A24E9">
              <w:rPr>
                <w:lang w:val="en-GB"/>
              </w:rPr>
              <w:t xml:space="preserve"> are measured at fair value</w:t>
            </w:r>
            <w:r>
              <w:rPr>
                <w:lang w:val="en-GB"/>
              </w:rPr>
              <w:t xml:space="preserve"> at</w:t>
            </w:r>
            <w:r w:rsidRPr="005A24E9">
              <w:rPr>
                <w:lang w:val="en-GB"/>
              </w:rPr>
              <w:t xml:space="preserve"> each reporting date</w:t>
            </w:r>
            <w:r w:rsidRPr="005A24E9" w:rsidR="00CB25DE">
              <w:rPr>
                <w:lang w:val="en-GB"/>
              </w:rPr>
              <w:t xml:space="preserve"> with the change recognised in the statement of income</w:t>
            </w:r>
            <w:r w:rsidRPr="005A24E9">
              <w:rPr>
                <w:lang w:val="en-GB"/>
              </w:rPr>
              <w:t>.</w:t>
            </w:r>
          </w:p>
          <w:p w:rsidR="00A64967" w:rsidRPr="005A24E9" w:rsidP="005A24E9" w14:paraId="6D89267E" w14:textId="77777777">
            <w:pPr>
              <w:pStyle w:val="Bodytext2"/>
              <w:rPr>
                <w:lang w:val="en-GB"/>
              </w:rPr>
            </w:pPr>
          </w:p>
          <w:p w:rsidR="00A64967" w:rsidRPr="005A24E9" w:rsidP="005A24E9" w14:paraId="05126A9A" w14:textId="14FA06E8">
            <w:pPr>
              <w:pStyle w:val="Bodytext2"/>
              <w:rPr>
                <w:lang w:val="en-GB"/>
              </w:rPr>
            </w:pPr>
            <w:r w:rsidRPr="005A24E9">
              <w:rPr>
                <w:lang w:val="en-GB"/>
              </w:rPr>
              <w:t>Market based vesting conditions</w:t>
            </w:r>
            <w:r>
              <w:rPr>
                <w:lang w:val="en-GB"/>
              </w:rPr>
              <w:t>,</w:t>
            </w:r>
            <w:r w:rsidRPr="005A24E9">
              <w:rPr>
                <w:lang w:val="en-GB"/>
              </w:rPr>
              <w:t xml:space="preserve"> such as share price development, are considered when determining the fair value of the incentive right. Non-market vesting conditions</w:t>
            </w:r>
            <w:r>
              <w:rPr>
                <w:lang w:val="en-GB"/>
              </w:rPr>
              <w:t>,</w:t>
            </w:r>
            <w:r w:rsidRPr="005A24E9">
              <w:rPr>
                <w:lang w:val="en-GB"/>
              </w:rPr>
              <w:t xml:space="preserve"> such as Economic Value </w:t>
            </w:r>
            <w:r w:rsidRPr="005A24E9" w:rsidR="00BC68D0">
              <w:rPr>
                <w:lang w:val="en-GB"/>
              </w:rPr>
              <w:t>Added,</w:t>
            </w:r>
            <w:r w:rsidRPr="005A24E9">
              <w:rPr>
                <w:lang w:val="en-GB"/>
              </w:rPr>
              <w:t xml:space="preserve"> or service time required</w:t>
            </w:r>
            <w:r w:rsidRPr="005A24E9" w:rsidR="008C1314">
              <w:rPr>
                <w:lang w:val="en-GB"/>
              </w:rPr>
              <w:t xml:space="preserve"> are considered when estimating the number of shares to vest. </w:t>
            </w:r>
            <w:r w:rsidRPr="005A24E9" w:rsidR="00523FB8">
              <w:rPr>
                <w:lang w:val="en-GB"/>
              </w:rPr>
              <w:t xml:space="preserve">Estimates of </w:t>
            </w:r>
            <w:r>
              <w:rPr>
                <w:lang w:val="en-GB"/>
              </w:rPr>
              <w:t xml:space="preserve">the </w:t>
            </w:r>
            <w:r w:rsidRPr="005A24E9" w:rsidR="00523FB8">
              <w:rPr>
                <w:lang w:val="en-GB"/>
              </w:rPr>
              <w:t>number of shares to vest</w:t>
            </w:r>
            <w:r w:rsidRPr="005A24E9" w:rsidR="008C1314">
              <w:rPr>
                <w:lang w:val="en-GB"/>
              </w:rPr>
              <w:t xml:space="preserve"> are revised at the end of each reporting period and the change is recognised through the statement of income.</w:t>
            </w:r>
          </w:p>
          <w:p w:rsidR="00D75B67" w:rsidRPr="005A24E9" w:rsidP="005A24E9" w14:paraId="274304C4" w14:textId="77777777">
            <w:pPr>
              <w:pStyle w:val="Bodytext2"/>
              <w:rPr>
                <w:lang w:val="en-GB"/>
              </w:rPr>
            </w:pPr>
          </w:p>
          <w:p w:rsidR="00851FE1" w:rsidRPr="005A24E9" w:rsidP="005A24E9" w14:paraId="53E2887A" w14:textId="6A3CE0E7">
            <w:pPr>
              <w:pStyle w:val="Bodytext2"/>
              <w:rPr>
                <w:lang w:val="en-GB"/>
              </w:rPr>
            </w:pPr>
            <w:r w:rsidRPr="005A24E9">
              <w:rPr>
                <w:lang w:val="en-GB"/>
              </w:rPr>
              <w:t xml:space="preserve">Cost of </w:t>
            </w:r>
            <w:r>
              <w:rPr>
                <w:lang w:val="en-GB"/>
              </w:rPr>
              <w:t xml:space="preserve">the </w:t>
            </w:r>
            <w:r w:rsidRPr="00773A64">
              <w:rPr>
                <w:lang w:val="en-GB"/>
              </w:rPr>
              <w:t>share-based long-term incentive sche</w:t>
            </w:r>
            <w:r w:rsidRPr="00773A64">
              <w:rPr>
                <w:lang w:val="en-GB"/>
              </w:rPr>
              <w:t xml:space="preserve">mes </w:t>
            </w:r>
            <w:r w:rsidRPr="005A24E9">
              <w:rPr>
                <w:lang w:val="en-GB"/>
              </w:rPr>
              <w:t xml:space="preserve">is </w:t>
            </w:r>
            <w:r w:rsidRPr="005A24E9" w:rsidR="005749E3">
              <w:rPr>
                <w:lang w:val="en-GB"/>
              </w:rPr>
              <w:t xml:space="preserve">recognised as </w:t>
            </w:r>
            <w:r w:rsidRPr="005A24E9" w:rsidR="00CB25DE">
              <w:rPr>
                <w:lang w:val="en-GB"/>
              </w:rPr>
              <w:t xml:space="preserve">employee benefit </w:t>
            </w:r>
            <w:r w:rsidRPr="005A24E9" w:rsidR="005749E3">
              <w:rPr>
                <w:lang w:val="en-GB"/>
              </w:rPr>
              <w:t>expense in</w:t>
            </w:r>
            <w:r w:rsidRPr="005A24E9" w:rsidR="008C1314">
              <w:rPr>
                <w:lang w:val="en-GB"/>
              </w:rPr>
              <w:t xml:space="preserve"> the</w:t>
            </w:r>
            <w:r w:rsidRPr="005A24E9" w:rsidR="005749E3">
              <w:rPr>
                <w:lang w:val="en-GB"/>
              </w:rPr>
              <w:t xml:space="preserve"> statement of income over the service period required in the scheme. </w:t>
            </w:r>
            <w:r w:rsidRPr="005A24E9">
              <w:rPr>
                <w:lang w:val="en-GB"/>
              </w:rPr>
              <w:t>For incentive rights settled with company’s shares the expense is recognised against equity</w:t>
            </w:r>
            <w:r>
              <w:rPr>
                <w:lang w:val="en-GB"/>
              </w:rPr>
              <w:t>,</w:t>
            </w:r>
            <w:r w:rsidRPr="005A24E9">
              <w:rPr>
                <w:lang w:val="en-GB"/>
              </w:rPr>
              <w:t xml:space="preserve"> and for incentive rights settled with cash</w:t>
            </w:r>
            <w:r w:rsidRPr="005A24E9">
              <w:rPr>
                <w:lang w:val="en-GB"/>
              </w:rPr>
              <w:t xml:space="preserve"> the expense is recognised </w:t>
            </w:r>
            <w:r w:rsidRPr="005A24E9" w:rsidR="00572998">
              <w:rPr>
                <w:lang w:val="en-GB"/>
              </w:rPr>
              <w:t>against</w:t>
            </w:r>
            <w:r w:rsidRPr="005A24E9">
              <w:rPr>
                <w:lang w:val="en-GB"/>
              </w:rPr>
              <w:t xml:space="preserve"> liabilities.</w:t>
            </w:r>
          </w:p>
          <w:p w:rsidR="00C55C6E" w:rsidRPr="005A24E9" w:rsidP="005A24E9" w14:paraId="0DDB66A2" w14:textId="5ADA6D16">
            <w:pPr>
              <w:pStyle w:val="Bodytext2"/>
              <w:rPr>
                <w:lang w:val="en-GB"/>
              </w:rPr>
            </w:pPr>
          </w:p>
          <w:p w:rsidR="00C55C6E" w:rsidRPr="005A24E9" w:rsidP="005A24E9" w14:paraId="7CEC5E7E" w14:textId="1765CB56">
            <w:pPr>
              <w:pStyle w:val="Bodytext2"/>
              <w:rPr>
                <w:lang w:val="en-GB"/>
              </w:rPr>
            </w:pPr>
            <w:r w:rsidRPr="005A24E9">
              <w:rPr>
                <w:lang w:val="en-GB"/>
              </w:rPr>
              <w:t>When</w:t>
            </w:r>
            <w:r w:rsidRPr="005A24E9" w:rsidR="00851FE1">
              <w:rPr>
                <w:lang w:val="en-GB"/>
              </w:rPr>
              <w:t xml:space="preserve"> company is obliged to withhold and settle with cash employee’s tax obligation associated with the shares</w:t>
            </w:r>
            <w:r w:rsidRPr="005A24E9" w:rsidR="00025149">
              <w:rPr>
                <w:lang w:val="en-GB"/>
              </w:rPr>
              <w:t xml:space="preserve"> vested</w:t>
            </w:r>
            <w:r>
              <w:rPr>
                <w:lang w:val="en-GB"/>
              </w:rPr>
              <w:t xml:space="preserve"> </w:t>
            </w:r>
            <w:r w:rsidRPr="005A24E9">
              <w:rPr>
                <w:lang w:val="en-GB"/>
              </w:rPr>
              <w:t>to tax authority</w:t>
            </w:r>
            <w:r w:rsidRPr="005A24E9" w:rsidR="00025149">
              <w:rPr>
                <w:lang w:val="en-GB"/>
              </w:rPr>
              <w:t>, th</w:t>
            </w:r>
            <w:r>
              <w:rPr>
                <w:lang w:val="en-GB"/>
              </w:rPr>
              <w:t>e</w:t>
            </w:r>
            <w:r w:rsidRPr="005A24E9" w:rsidR="00025149">
              <w:rPr>
                <w:lang w:val="en-GB"/>
              </w:rPr>
              <w:t xml:space="preserve"> portion is accounted in the same manner as the portion</w:t>
            </w:r>
            <w:r>
              <w:rPr>
                <w:lang w:val="en-GB"/>
              </w:rPr>
              <w:t>,</w:t>
            </w:r>
            <w:r w:rsidRPr="005A24E9" w:rsidR="00DA017E">
              <w:rPr>
                <w:lang w:val="en-GB"/>
              </w:rPr>
              <w:t xml:space="preserve"> which is settled with shares</w:t>
            </w:r>
            <w:r w:rsidRPr="005A24E9" w:rsidR="00025149">
              <w:rPr>
                <w:lang w:val="en-GB"/>
              </w:rPr>
              <w:t>.</w:t>
            </w:r>
          </w:p>
          <w:p w:rsidR="003B7706" w:rsidRPr="005A24E9" w:rsidP="005A24E9" w14:paraId="33CD3818" w14:textId="77777777">
            <w:pPr>
              <w:pStyle w:val="Bodytext2"/>
              <w:rPr>
                <w:lang w:val="en-GB"/>
              </w:rPr>
            </w:pPr>
          </w:p>
          <w:p w:rsidR="003B7706" w:rsidRPr="005A24E9" w:rsidP="005A24E9" w14:paraId="62EDB474" w14:textId="75A356D4">
            <w:pPr>
              <w:pStyle w:val="Bodytext2"/>
              <w:rPr>
                <w:lang w:val="en-GB"/>
              </w:rPr>
            </w:pPr>
            <w:r w:rsidRPr="005A24E9">
              <w:rPr>
                <w:lang w:val="en-GB"/>
              </w:rPr>
              <w:t>The Group companies have various p</w:t>
            </w:r>
            <w:r w:rsidRPr="005A24E9">
              <w:rPr>
                <w:lang w:val="en-GB"/>
              </w:rPr>
              <w:t>ension and other post-employment benefit plans in accordance with local conditions and practices worldwide. These plans are classified either as defined contribution plans or defined benefit plans.</w:t>
            </w:r>
          </w:p>
          <w:p w:rsidR="003B7706" w:rsidRPr="005A24E9" w:rsidP="005A24E9" w14:paraId="5430A7C5" w14:textId="77777777">
            <w:pPr>
              <w:pStyle w:val="Bodytext2"/>
              <w:rPr>
                <w:lang w:val="en-GB"/>
              </w:rPr>
            </w:pPr>
          </w:p>
          <w:p w:rsidR="003B7706" w:rsidRPr="005A24E9" w:rsidP="005A24E9" w14:paraId="69A12467" w14:textId="379CCCE1">
            <w:pPr>
              <w:pStyle w:val="Bodytext2"/>
              <w:rPr>
                <w:lang w:val="en-GB"/>
              </w:rPr>
            </w:pPr>
            <w:r w:rsidRPr="005A24E9">
              <w:rPr>
                <w:lang w:val="en-GB"/>
              </w:rPr>
              <w:t>In defined contribution plans, the Group pays fixed contr</w:t>
            </w:r>
            <w:r w:rsidRPr="005A24E9">
              <w:rPr>
                <w:lang w:val="en-GB"/>
              </w:rPr>
              <w:t>ibutions into a separate entity, such as an insurance company. The Group has no legal or constructive obligation to pay further contributions if the fund does not hold sufficient assets to pay employee benefits. The contributions are recognised in employee</w:t>
            </w:r>
            <w:r w:rsidRPr="005A24E9">
              <w:rPr>
                <w:lang w:val="en-GB"/>
              </w:rPr>
              <w:t xml:space="preserve"> benefit expenses in the statement of income in the period to which they relate.</w:t>
            </w:r>
          </w:p>
          <w:p w:rsidR="003B7706" w:rsidRPr="005A24E9" w:rsidP="005A24E9" w14:paraId="65FE7C93" w14:textId="77777777">
            <w:pPr>
              <w:pStyle w:val="Bodytext2"/>
              <w:rPr>
                <w:lang w:val="en-GB"/>
              </w:rPr>
            </w:pPr>
          </w:p>
          <w:p w:rsidR="003B7706" w:rsidRPr="00CE381E" w:rsidP="005A24E9" w14:paraId="6EFE0896" w14:textId="391081DA">
            <w:pPr>
              <w:pStyle w:val="Bodytext2"/>
              <w:rPr>
                <w:lang w:val="en-GB"/>
              </w:rPr>
            </w:pPr>
            <w:r w:rsidRPr="005A24E9">
              <w:rPr>
                <w:lang w:val="en-GB"/>
              </w:rPr>
              <w:t xml:space="preserve">Accounting principles for defined benefit plans are presented in Note 4.7. </w:t>
            </w:r>
            <w:r w:rsidRPr="005A24E9">
              <w:t>Pension obligations.</w:t>
            </w:r>
          </w:p>
        </w:tc>
      </w:tr>
    </w:tbl>
    <w:p w:rsidR="00C710AE" w:rsidP="005A24E9" w14:paraId="1A8FD50C" w14:textId="5D149D07">
      <w:pPr>
        <w:pStyle w:val="Bodytext2"/>
      </w:pPr>
    </w:p>
    <w:p w:rsidR="00DD4B48" w:rsidP="005A24E9" w14:paraId="7AD8ED5B" w14:textId="7624841B">
      <w:pPr>
        <w:pStyle w:val="Bodytext2"/>
      </w:pPr>
    </w:p>
    <w:p w:rsidR="008507CC" w:rsidP="005A24E9" w14:paraId="71ECFB70" w14:textId="77777777">
      <w:pPr>
        <w:pStyle w:val="Bodytext2"/>
      </w:pPr>
    </w:p>
    <w:tbl>
      <w:tblPr>
        <w:tblStyle w:val="TableNormal"/>
        <w:tblCaption w:val="Table_Employee_benefit_expenses"/>
        <w:tblW w:w="7320" w:type="dxa"/>
        <w:tblLayout w:type="fixed"/>
        <w:tblLook w:val="0600"/>
      </w:tblPr>
      <w:tblGrid>
        <w:gridCol w:w="4830"/>
        <w:gridCol w:w="1245"/>
        <w:gridCol w:w="1245"/>
      </w:tblGrid>
      <w:tr>
        <w:tblPrEx>
          <w:tblW w:w="7320" w:type="dxa"/>
          <w:tblLayout w:type="fixed"/>
          <w:tblLook w:val="0600"/>
        </w:tblPrEx>
        <w:trPr>
          <w:trHeight w:val="240"/>
        </w:trPr>
        <w:tc>
          <w:tcPr>
            <w:tcW w:w="48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Wages and salaries</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1,009</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984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Pension costs</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Defined benefit plans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Defined contribution plans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77</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compulsory personnel costs</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136</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1,230</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1,192</w:t>
            </w:r>
          </w:p>
        </w:tc>
      </w:tr>
    </w:tbl>
    <w:p w:rsidR="003B7706" w:rsidRPr="005A24E9" w:rsidP="005A24E9" w14:paraId="60706BE3" w14:textId="77777777">
      <w:pPr>
        <w:pStyle w:val="Bodytext2"/>
      </w:pPr>
    </w:p>
    <w:p w:rsidR="003B7706" w:rsidRPr="005A24E9" w:rsidP="005A24E9" w14:paraId="53E7D475" w14:textId="77777777">
      <w:pPr>
        <w:pStyle w:val="Bodytext2"/>
      </w:pPr>
      <w:r w:rsidRPr="005A24E9">
        <w:t xml:space="preserve">Management remuneration is </w:t>
      </w:r>
      <w:r w:rsidRPr="005A24E9">
        <w:t>specified in Note 7.2. Related party disclosures.</w:t>
      </w:r>
    </w:p>
    <w:p w:rsidR="003B7706" w:rsidRPr="005A24E9" w:rsidP="005A24E9" w14:paraId="7FCE630B" w14:textId="77777777">
      <w:pPr>
        <w:pStyle w:val="Bodytext2"/>
      </w:pPr>
    </w:p>
    <w:p w:rsidR="003B7706" w:rsidRPr="005A24E9" w:rsidP="005A24E9" w14:paraId="2BBA9555" w14:textId="50311D15">
      <w:pPr>
        <w:pStyle w:val="Bodytext2"/>
        <w:rPr>
          <w:b/>
          <w:bCs/>
        </w:rPr>
      </w:pPr>
      <w:r w:rsidRPr="005A24E9">
        <w:rPr>
          <w:b/>
          <w:bCs/>
        </w:rPr>
        <w:t>Long-term incentive schemes</w:t>
      </w:r>
    </w:p>
    <w:p w:rsidR="00CC4FCD" w:rsidRPr="005A24E9" w:rsidP="005A24E9" w14:paraId="561D8ACF" w14:textId="4EDC5F5D">
      <w:pPr>
        <w:pStyle w:val="Bodytext2"/>
      </w:pPr>
      <w:r w:rsidRPr="005A24E9">
        <w:t>Wages and salaries include EUR 8 million (7) in expenses arising from share-based long-term incentive schemes. At the end of 202</w:t>
      </w:r>
      <w:r w:rsidRPr="005A24E9" w:rsidR="001E6CAB">
        <w:t>1</w:t>
      </w:r>
      <w:r w:rsidRPr="005A24E9">
        <w:t xml:space="preserve">, Wärtsilä had three active long-term incentive </w:t>
      </w:r>
      <w:r w:rsidRPr="005A24E9">
        <w:t>schemes.</w:t>
      </w:r>
    </w:p>
    <w:p w:rsidR="00CC4FCD" w:rsidRPr="005A24E9" w:rsidP="005A24E9" w14:paraId="614815FD" w14:textId="77777777">
      <w:pPr>
        <w:pStyle w:val="Bodytext2"/>
      </w:pPr>
    </w:p>
    <w:p w:rsidR="00A10062" w:rsidRPr="005A24E9" w:rsidP="005A24E9" w14:paraId="47077F2D" w14:textId="1DE5C5D7">
      <w:pPr>
        <w:pStyle w:val="Bodytext2"/>
      </w:pPr>
      <w:r w:rsidRPr="005A24E9">
        <w:t>T</w:t>
      </w:r>
      <w:r w:rsidRPr="005A24E9" w:rsidR="00CC4FCD">
        <w:t xml:space="preserve">wo of these </w:t>
      </w:r>
      <w:r w:rsidRPr="005A24E9">
        <w:t>schemes are tied to the price development of the company’s share during a pre-determined timeframe, and an upper limit is set for the payable incentive. When an incentive scheme ends and the employment requirement is fulfilled, the i</w:t>
      </w:r>
      <w:r w:rsidRPr="005A24E9">
        <w:t xml:space="preserve">ncentive is settled </w:t>
      </w:r>
      <w:r w:rsidRPr="005A24E9" w:rsidR="00DA017E">
        <w:t>with</w:t>
      </w:r>
      <w:r w:rsidRPr="005A24E9">
        <w:t xml:space="preserve"> company shares (2019-2021 and 2020-2022 incentive schemes). The Board of Management members shall acquire Wärtsilä shares with 50% of the net bonuses received, until the share ownership corresponding to the individuals' </w:t>
      </w:r>
      <w:r w:rsidRPr="005A24E9">
        <w:t>annual gross base salary level has been achieved.</w:t>
      </w:r>
    </w:p>
    <w:p w:rsidR="00A10062" w:rsidRPr="005A24E9" w:rsidP="005A24E9" w14:paraId="05A6B9B1" w14:textId="77777777">
      <w:pPr>
        <w:pStyle w:val="Bodytext2"/>
      </w:pPr>
    </w:p>
    <w:p w:rsidR="00A10062" w:rsidRPr="005A24E9" w:rsidP="005A24E9" w14:paraId="682E74B2" w14:textId="1E3FE282">
      <w:pPr>
        <w:pStyle w:val="Bodytext2"/>
      </w:pPr>
      <w:r w:rsidRPr="005A24E9">
        <w:t xml:space="preserve">The payment for incentive schemes is based on the share price development during a three-year period. </w:t>
      </w:r>
      <w:r w:rsidRPr="005A24E9" w:rsidR="00CC4FCD">
        <w:t>T</w:t>
      </w:r>
      <w:r w:rsidRPr="005A24E9">
        <w:t>he 2019-2021</w:t>
      </w:r>
      <w:r w:rsidRPr="005A24E9" w:rsidR="00CC4FCD">
        <w:t xml:space="preserve"> incentive scheme comprises</w:t>
      </w:r>
      <w:r w:rsidRPr="005A24E9">
        <w:t xml:space="preserve"> </w:t>
      </w:r>
      <w:r w:rsidRPr="005A24E9" w:rsidR="0089664E">
        <w:t>3</w:t>
      </w:r>
      <w:r w:rsidRPr="005A24E9">
        <w:t>,</w:t>
      </w:r>
      <w:r w:rsidRPr="005A24E9" w:rsidR="0089664E">
        <w:t>984</w:t>
      </w:r>
      <w:r w:rsidRPr="005A24E9">
        <w:t>,</w:t>
      </w:r>
      <w:r w:rsidRPr="005A24E9" w:rsidR="0089664E">
        <w:t>750</w:t>
      </w:r>
      <w:r w:rsidRPr="005A24E9">
        <w:t xml:space="preserve"> rights and the 2020-2022 incentive scheme </w:t>
      </w:r>
      <w:r w:rsidRPr="005A24E9" w:rsidR="0089664E">
        <w:t>7</w:t>
      </w:r>
      <w:r w:rsidRPr="005A24E9">
        <w:t>,0</w:t>
      </w:r>
      <w:r w:rsidRPr="005A24E9" w:rsidR="0089664E">
        <w:t>28</w:t>
      </w:r>
      <w:r w:rsidRPr="005A24E9">
        <w:t>,</w:t>
      </w:r>
      <w:r w:rsidRPr="005A24E9" w:rsidR="0089664E">
        <w:t>5</w:t>
      </w:r>
      <w:r w:rsidRPr="005A24E9">
        <w:t xml:space="preserve">00 </w:t>
      </w:r>
      <w:r w:rsidRPr="005A24E9">
        <w:t>rights. For the incentive scheme 201</w:t>
      </w:r>
      <w:r w:rsidRPr="005A24E9" w:rsidR="00CC4FCD">
        <w:t>9-2021</w:t>
      </w:r>
      <w:r w:rsidRPr="005A24E9">
        <w:t xml:space="preserve"> the share price basis </w:t>
      </w:r>
      <w:r w:rsidRPr="005A24E9" w:rsidR="00E06B9F">
        <w:t xml:space="preserve">is </w:t>
      </w:r>
      <w:r w:rsidRPr="005A24E9">
        <w:t>EUR 16.76, and for the incentive scheme 2020-2022 EUR 11.10. The incentive schemes take into account 100% of dividends paid, and the paid bonus cannot exceed</w:t>
      </w:r>
      <w:r w:rsidRPr="005A24E9" w:rsidR="00E06B9F">
        <w:t xml:space="preserve"> </w:t>
      </w:r>
      <w:r w:rsidRPr="005A24E9">
        <w:t>EUR 6.56</w:t>
      </w:r>
      <w:r w:rsidRPr="005A24E9" w:rsidR="00E06B9F">
        <w:t xml:space="preserve"> per incentive right</w:t>
      </w:r>
      <w:r w:rsidRPr="005A24E9">
        <w:t xml:space="preserve"> i</w:t>
      </w:r>
      <w:r w:rsidRPr="005A24E9">
        <w:t>n the 2019-2021 scheme, or EUR 4.31 in the 2020-2022 scheme.</w:t>
      </w:r>
    </w:p>
    <w:p w:rsidR="00A10062" w:rsidRPr="005A24E9" w:rsidP="005A24E9" w14:paraId="593FAFBF" w14:textId="77777777">
      <w:pPr>
        <w:pStyle w:val="Bodytext2"/>
      </w:pPr>
    </w:p>
    <w:p w:rsidR="00A10062" w:rsidRPr="005A24E9" w:rsidP="005A24E9" w14:paraId="7B461F7B" w14:textId="1C1C223D">
      <w:pPr>
        <w:pStyle w:val="Bodytext2"/>
      </w:pPr>
      <w:r w:rsidRPr="005A24E9">
        <w:t xml:space="preserve">The fair value determined </w:t>
      </w:r>
      <w:r w:rsidRPr="005A24E9" w:rsidR="003F119C">
        <w:t xml:space="preserve">at grant date </w:t>
      </w:r>
      <w:r w:rsidRPr="005A24E9">
        <w:t>for the incentive right in 2019-2021 scheme is EUR 2.69 and in 2020-2022 scheme EUR 1.34.</w:t>
      </w:r>
    </w:p>
    <w:p w:rsidR="00307966" w:rsidRPr="005A24E9" w:rsidP="005A24E9" w14:paraId="3F421C73" w14:textId="12E389C6">
      <w:pPr>
        <w:pStyle w:val="Bodytext2"/>
      </w:pPr>
    </w:p>
    <w:p w:rsidR="00FC3A34" w:rsidRPr="005A24E9" w:rsidP="005A24E9" w14:paraId="708A2298" w14:textId="1CFDB2BC">
      <w:pPr>
        <w:pStyle w:val="Bodytext2"/>
      </w:pPr>
      <w:r w:rsidRPr="005A24E9">
        <w:t>Third long-term incentive scheme is for period 2021-2023. It is</w:t>
      </w:r>
      <w:r w:rsidRPr="005A24E9">
        <w:t xml:space="preserve"> a performance share plan where the participant</w:t>
      </w:r>
      <w:r w:rsidRPr="005A24E9" w:rsidR="00357128">
        <w:t xml:space="preserve">s are granted company shares if the pre-determined </w:t>
      </w:r>
      <w:r w:rsidRPr="005A24E9" w:rsidR="00B70255">
        <w:t>minimum level</w:t>
      </w:r>
      <w:r w:rsidRPr="005A24E9" w:rsidR="00357128">
        <w:t xml:space="preserve"> in company’s Economic Value Added </w:t>
      </w:r>
      <w:r w:rsidRPr="005A24E9" w:rsidR="00B70255">
        <w:t>is</w:t>
      </w:r>
      <w:r w:rsidRPr="005A24E9" w:rsidR="00357128">
        <w:t xml:space="preserve"> reached</w:t>
      </w:r>
      <w:r w:rsidRPr="005A24E9" w:rsidR="00453BA3">
        <w:t xml:space="preserve"> and</w:t>
      </w:r>
      <w:r w:rsidRPr="005A24E9" w:rsidR="0078135C">
        <w:t xml:space="preserve"> </w:t>
      </w:r>
      <w:r w:rsidRPr="005A24E9" w:rsidR="008E6503">
        <w:t>employment requirement</w:t>
      </w:r>
      <w:r w:rsidRPr="005A24E9" w:rsidR="0078135C">
        <w:t xml:space="preserve"> for the period is met</w:t>
      </w:r>
      <w:r w:rsidRPr="005A24E9" w:rsidR="00357128">
        <w:t xml:space="preserve">. Number of shares depends on the level of achievement and is capped to 175% of the target level. </w:t>
      </w:r>
      <w:r w:rsidRPr="005A24E9" w:rsidR="008F7528">
        <w:t xml:space="preserve">There is also a cap set to the </w:t>
      </w:r>
      <w:r w:rsidRPr="005A24E9" w:rsidR="00453BA3">
        <w:t>pay-out in relation to individuals’ base pay at grant date.</w:t>
      </w:r>
      <w:r w:rsidRPr="005A24E9" w:rsidR="00357128">
        <w:t xml:space="preserve"> </w:t>
      </w:r>
      <w:r w:rsidRPr="005A24E9" w:rsidR="0089664E">
        <w:t>On target level</w:t>
      </w:r>
      <w:r>
        <w:t>,</w:t>
      </w:r>
      <w:r w:rsidRPr="005A24E9" w:rsidR="0089664E">
        <w:t xml:space="preserve"> the scheme would entitle the participants to a total reward of 3,559,203 shares. </w:t>
      </w:r>
      <w:r w:rsidRPr="005A24E9" w:rsidR="009555CC">
        <w:t>In certain countries the equivalent reward would be settled with cash due to local legislation.</w:t>
      </w:r>
    </w:p>
    <w:p w:rsidR="00FC3A34" w:rsidRPr="005A24E9" w:rsidP="005A24E9" w14:paraId="2CA4E6FE" w14:textId="657B864F">
      <w:pPr>
        <w:pStyle w:val="Bodytext2"/>
      </w:pPr>
    </w:p>
    <w:p w:rsidR="009555CC" w:rsidRPr="005A24E9" w:rsidP="005A24E9" w14:paraId="7C2993D6" w14:textId="7B70446B">
      <w:pPr>
        <w:pStyle w:val="Bodytext2"/>
      </w:pPr>
      <w:r w:rsidRPr="005A24E9">
        <w:t xml:space="preserve">The fair value of </w:t>
      </w:r>
      <w:r>
        <w:t xml:space="preserve">the </w:t>
      </w:r>
      <w:r w:rsidRPr="005A24E9">
        <w:t xml:space="preserve">share determined at grant date for accounting of 2021-2023 scheme is EUR </w:t>
      </w:r>
      <w:r w:rsidRPr="005A24E9" w:rsidR="008E6503">
        <w:t>8.42.</w:t>
      </w:r>
    </w:p>
    <w:tbl>
      <w:tblPr>
        <w:tblStyle w:val="TableNormal"/>
        <w:tblCaption w:val="Table_Personnel"/>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Personnel on average</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17,461</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18,307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Personnel at the end of the financial period</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17,305</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17,792</w:t>
            </w:r>
          </w:p>
        </w:tc>
      </w:tr>
    </w:tbl>
    <w:p/>
    <w:p w:rsidR="0096005C" w:rsidRPr="0096005C" w:rsidP="0096005C" w14:paraId="0CE26553" w14:textId="77777777">
      <w:pPr>
        <w:pStyle w:val="Heading12"/>
      </w:pPr>
      <w:bookmarkStart w:id="1463" w:name="RG_MARKER_7341"/>
      <w:r w:rsidRPr="0096005C">
        <w:t>2.6. INCOME TAXES</w:t>
      </w:r>
      <w:bookmarkEnd w:id="1463"/>
    </w:p>
    <w:tbl>
      <w:tblPr>
        <w:tblStyle w:val="TableGrid"/>
        <w:tblW w:w="7371" w:type="dxa"/>
        <w:tblLook w:val="04A0"/>
      </w:tblPr>
      <w:tblGrid>
        <w:gridCol w:w="7371"/>
      </w:tblGrid>
      <w:tr w14:paraId="4786AFD1" w14:textId="77777777" w:rsidTr="0096005C">
        <w:tblPrEx>
          <w:tblW w:w="7371" w:type="dxa"/>
          <w:tblLook w:val="04A0"/>
        </w:tblPrEx>
        <w:tc>
          <w:tcPr>
            <w:tcW w:w="7371" w:type="dxa"/>
            <w:tcBorders>
              <w:top w:val="nil"/>
              <w:left w:val="nil"/>
              <w:bottom w:val="nil"/>
              <w:right w:val="nil"/>
            </w:tcBorders>
            <w:shd w:val="clear" w:color="auto" w:fill="B6C8D1"/>
          </w:tcPr>
          <w:p w:rsidR="0096005C" w:rsidRPr="00D40C99" w:rsidP="0096005C" w14:paraId="6455DA05" w14:textId="77777777">
            <w:pPr>
              <w:pStyle w:val="Heading13"/>
              <w:rPr>
                <w:lang w:val="en-GB"/>
              </w:rPr>
            </w:pPr>
            <w:r w:rsidRPr="00D40C99">
              <w:rPr>
                <w:lang w:val="en-GB"/>
              </w:rPr>
              <w:t>Accounting principles</w:t>
            </w:r>
          </w:p>
          <w:p w:rsidR="0096005C" w:rsidRPr="00B645E9" w:rsidP="0096005C" w14:paraId="4C99ECD9" w14:textId="77777777">
            <w:pPr>
              <w:pStyle w:val="Bodytext2"/>
              <w:rPr>
                <w:lang w:val="en-GB"/>
              </w:rPr>
            </w:pPr>
            <w:r w:rsidRPr="00B645E9">
              <w:rPr>
                <w:lang w:val="en-GB"/>
              </w:rPr>
              <w:t>The statement of income includes taxes payable based</w:t>
            </w:r>
            <w:r w:rsidRPr="00B645E9">
              <w:rPr>
                <w:lang w:val="en-GB"/>
              </w:rPr>
              <w:t xml:space="preserve"> on the Group’s consolidated taxable income for the financial period in accordance with local tax regulations, tax adjustments for previous financial periods, and changes in deferred taxes. Tax effects related to transactions recognised through the stateme</w:t>
            </w:r>
            <w:r w:rsidRPr="00B645E9">
              <w:rPr>
                <w:lang w:val="en-GB"/>
              </w:rPr>
              <w:t>nt of income and other events are recognised in the statement of income. Tax effects related to transactions or other events to be presented as components of other comprehensive income or directly in equity are also recognised, respectively, in other compr</w:t>
            </w:r>
            <w:r w:rsidRPr="00B645E9">
              <w:rPr>
                <w:lang w:val="en-GB"/>
              </w:rPr>
              <w:t>ehensive income or directly in equity.</w:t>
            </w:r>
          </w:p>
          <w:p w:rsidR="0096005C" w:rsidRPr="00B645E9" w:rsidP="0096005C" w14:paraId="48202469" w14:textId="77777777">
            <w:pPr>
              <w:pStyle w:val="Bodytext2"/>
              <w:rPr>
                <w:lang w:val="en-GB"/>
              </w:rPr>
            </w:pPr>
          </w:p>
          <w:p w:rsidR="0096005C" w:rsidRPr="00D40C99" w:rsidP="0096005C" w14:paraId="1672A73E" w14:textId="7BD7A387">
            <w:pPr>
              <w:pStyle w:val="Bodytext2"/>
              <w:rPr>
                <w:lang w:val="en-GB"/>
              </w:rPr>
            </w:pPr>
            <w:r w:rsidRPr="00B645E9">
              <w:rPr>
                <w:lang w:val="en-GB"/>
              </w:rPr>
              <w:t xml:space="preserve">The current income tax charge is calculated </w:t>
            </w:r>
            <w:r>
              <w:rPr>
                <w:lang w:val="en-GB"/>
              </w:rPr>
              <w:t>according to</w:t>
            </w:r>
            <w:r w:rsidRPr="00B645E9">
              <w:rPr>
                <w:lang w:val="en-GB"/>
              </w:rPr>
              <w:t xml:space="preserve"> tax laws enacted</w:t>
            </w:r>
            <w:r>
              <w:rPr>
                <w:lang w:val="en-GB"/>
              </w:rPr>
              <w:t>,</w:t>
            </w:r>
            <w:r w:rsidRPr="00B645E9">
              <w:rPr>
                <w:lang w:val="en-GB"/>
              </w:rPr>
              <w:t xml:space="preserve"> or substantively enacted</w:t>
            </w:r>
            <w:r>
              <w:rPr>
                <w:lang w:val="en-GB"/>
              </w:rPr>
              <w:t>,</w:t>
            </w:r>
            <w:r w:rsidRPr="00B645E9">
              <w:rPr>
                <w:lang w:val="en-GB"/>
              </w:rPr>
              <w:t xml:space="preserve"> on the balance sheet date in the countries where the company and its subsidiaries operate and generate taxable inco</w:t>
            </w:r>
            <w:r w:rsidRPr="00B645E9">
              <w:rPr>
                <w:lang w:val="en-GB"/>
              </w:rPr>
              <w:t>me.</w:t>
            </w:r>
          </w:p>
        </w:tc>
      </w:tr>
    </w:tbl>
    <w:p w:rsidR="0096005C" w:rsidP="0096005C" w14:paraId="1513CAE8" w14:textId="41943A8E">
      <w:pPr>
        <w:pStyle w:val="Bodytext2"/>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6A2AB6F9" w14:textId="77777777" w:rsidTr="001A3476">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1A3476" w:rsidRPr="00B645E9" w:rsidP="001A3476" w14:paraId="21676B1D" w14:textId="77777777">
            <w:pPr>
              <w:pStyle w:val="Heading13"/>
              <w:rPr>
                <w:lang w:val="en-GB"/>
              </w:rPr>
            </w:pPr>
            <w:r w:rsidRPr="00B645E9">
              <w:rPr>
                <w:lang w:val="en-GB"/>
              </w:rPr>
              <w:t>Accounting estimates and judgements</w:t>
            </w:r>
          </w:p>
          <w:p w:rsidR="001A3476" w:rsidRPr="001A3476" w:rsidP="001A3476" w14:paraId="062590A5" w14:textId="6076A909">
            <w:pPr>
              <w:pStyle w:val="Bodytext2"/>
              <w:rPr>
                <w:lang w:val="en-GB"/>
              </w:rPr>
            </w:pPr>
            <w:r w:rsidRPr="00B645E9">
              <w:rPr>
                <w:lang w:val="en-GB"/>
              </w:rPr>
              <w:t>The Group is subject to income taxes in several jurisdictions and the computation of the Group´s income tax expense and income tax liabilities require judgement and estimation. Income tax positions are regularly ev</w:t>
            </w:r>
            <w:r w:rsidRPr="00B645E9">
              <w:rPr>
                <w:lang w:val="en-GB"/>
              </w:rPr>
              <w:t>aluated by the management to identify situations when there might be uncertainty due to tax regulation being subject to interpretation. Provisions</w:t>
            </w:r>
            <w:r w:rsidRPr="00D40C99">
              <w:rPr>
                <w:lang w:val="en-GB"/>
              </w:rPr>
              <w:t xml:space="preserve"> for these uncertain tax positions are recognised when it is considered more likely than not that the position</w:t>
            </w:r>
            <w:r w:rsidRPr="00D40C99">
              <w:rPr>
                <w:lang w:val="en-GB"/>
              </w:rPr>
              <w:t>s will be challenged by the tax authorities. The provision recognised is based on the estimation of the amount of the final taxes to be paid</w:t>
            </w:r>
            <w:r>
              <w:rPr>
                <w:lang w:val="en-GB"/>
              </w:rPr>
              <w:t xml:space="preserve"> to</w:t>
            </w:r>
            <w:r w:rsidRPr="00D40C99">
              <w:rPr>
                <w:lang w:val="en-GB"/>
              </w:rPr>
              <w:t xml:space="preserve"> the tax authorities</w:t>
            </w:r>
            <w:r>
              <w:rPr>
                <w:lang w:val="en-GB"/>
              </w:rPr>
              <w:t>.</w:t>
            </w:r>
          </w:p>
        </w:tc>
      </w:tr>
    </w:tbl>
    <w:p w:rsidR="00585B57" w:rsidRPr="00F5296A" w:rsidP="0096005C" w14:paraId="07671A1C" w14:textId="77777777">
      <w:pPr>
        <w:pStyle w:val="Bodytext2"/>
        <w:rPr>
          <w:lang w:val="en-GB"/>
        </w:rPr>
      </w:pPr>
    </w:p>
    <w:tbl>
      <w:tblPr>
        <w:tblStyle w:val="TableNormal"/>
        <w:tblCaption w:val="table_income_taxes"/>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Income taxes</w:t>
            </w: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for the financial period</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-88</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for prior financial periods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 in deferred tax</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origination and reversal of temporary differences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nil"/>
              <w:left w:val="nil"/>
              <w:bottom w:val="single" w:sz="8" w:space="0" w:color="0F172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tax rates</w:t>
            </w:r>
          </w:p>
        </w:tc>
        <w:tc>
          <w:tcPr>
            <w:tcW w:w="1245"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-103</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Reconciliation of effective tax rate:</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Profit before taxes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296</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Tax calculated at the domestic corporate tax rate 20.0%</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-59</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Effect of changed tax rates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Effect of different tax rates in foreign subsidiaries</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Effect of income not subject to tax and non-deductible expenses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Effect of share of result of associates and joint ventures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Utilisation of previously unrecognised tax losses carried forward</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Unrecognised taxes on losses carried forward</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taxes*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temporary differences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Income taxes for prior financial periods</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Tax charge in the consolidated statement of income</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-103</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Effective tax rate (%)</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34.7</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30.3</w:t>
            </w:r>
          </w:p>
        </w:tc>
      </w:tr>
    </w:tbl>
    <w:p w:rsidR="0096005C" w:rsidRPr="0096005C" w:rsidP="0096005C" w14:paraId="66F70B0D" w14:textId="77777777">
      <w:pPr>
        <w:pStyle w:val="Bodytext2"/>
      </w:pPr>
    </w:p>
    <w:p w:rsidR="0096005C" w:rsidRPr="00B645E9" w:rsidP="0096005C" w14:paraId="2E6FD647" w14:textId="398C601A">
      <w:pPr>
        <w:pStyle w:val="Bodytext2"/>
      </w:pPr>
      <w:r w:rsidRPr="00B645E9">
        <w:t>* Other taxes consist mainly of wit</w:t>
      </w:r>
      <w:r>
        <w:t>h</w:t>
      </w:r>
      <w:r w:rsidRPr="00B645E9">
        <w:t>holding taxes not utilised and taxes not directly based on taxable income.</w:t>
      </w:r>
    </w:p>
    <w:p w:rsidR="0096005C" w:rsidRPr="0096005C" w:rsidP="0096005C" w14:paraId="137C327E" w14:textId="5699923A">
      <w:pPr>
        <w:pStyle w:val="Bodytext2"/>
      </w:pPr>
    </w:p>
    <w:p w:rsidR="0096005C" w:rsidRPr="0096005C" w:rsidP="0096005C" w14:paraId="74B58268" w14:textId="77777777">
      <w:pPr>
        <w:pStyle w:val="Bodytext2"/>
      </w:pPr>
      <w:r w:rsidRPr="0096005C">
        <w:t xml:space="preserve">Income taxes related to other comprehensive income are presented in Consolidated statement of comprehensive income. Changes in deferred tax assets and liabilities are presented in </w:t>
      </w:r>
      <w:r w:rsidRPr="0096005C">
        <w:t>Note 4.6. Deferred taxes.</w:t>
      </w:r>
    </w:p>
    <w:p w:rsidR="0096005C" w:rsidRPr="0096005C" w:rsidP="0096005C" w14:paraId="7258BD06" w14:textId="77777777">
      <w:pPr>
        <w:pStyle w:val="Bodytext2"/>
      </w:pPr>
    </w:p>
    <w:p w:rsidR="00B14CC9" w:rsidRPr="0096005C" w:rsidP="0096005C" w14:textId="0D79DEC0">
      <w:pPr>
        <w:pStyle w:val="Bodytext2"/>
      </w:pPr>
      <w:r w:rsidRPr="0096005C">
        <w:t>In some countries Wärtsilä is subject to tax audits, which can result in tax reassessment decisions and obligations to pay additional taxes and related payments.</w:t>
      </w:r>
    </w:p>
    <w:p/>
    <w:p w:rsidR="002930E7" w:rsidP="002930E7" w14:paraId="4E9E60F6" w14:textId="77777777">
      <w:pPr>
        <w:pStyle w:val="Heading12"/>
      </w:pPr>
      <w:bookmarkStart w:id="1464" w:name="RG_MARKER_7340"/>
      <w:r>
        <w:t>2.7. EARNINGS PER SHARE</w:t>
      </w:r>
      <w:bookmarkEnd w:id="1464"/>
    </w:p>
    <w:p w:rsidR="002930E7" w:rsidP="002930E7" w14:paraId="23C70698" w14:textId="7D073217">
      <w:pPr>
        <w:pStyle w:val="Bodytext2"/>
        <w:rPr>
          <w:szCs w:val="15"/>
        </w:rPr>
      </w:pPr>
      <w:r>
        <w:rPr>
          <w:szCs w:val="15"/>
        </w:rPr>
        <w:t>Earnings per share is calculated by dividing the profit for the financial period attributable to equity holders of the parent company by the weighted average number of shares outstanding during the period.</w:t>
      </w:r>
    </w:p>
    <w:p w:rsidR="00BD21AF" w:rsidP="00BD21AF" w14:paraId="0AFDD240" w14:textId="46778E48">
      <w:pPr>
        <w:pStyle w:val="Bodytext2"/>
        <w:rPr>
          <w:szCs w:val="15"/>
        </w:rPr>
      </w:pPr>
    </w:p>
    <w:p w:rsidR="00BD21AF" w:rsidRPr="00163ED9" w:rsidP="00163ED9" w14:paraId="21A5B839" w14:textId="1DB4CE16">
      <w:pPr>
        <w:pStyle w:val="Heading13"/>
      </w:pPr>
      <w:r w:rsidRPr="00163ED9">
        <w:t>Equity-settled share-based payments</w:t>
      </w:r>
    </w:p>
    <w:p w:rsidR="00163ED9" w:rsidRPr="00163ED9" w:rsidP="00163ED9" w14:paraId="262DADA2" w14:textId="77777777">
      <w:pPr>
        <w:pStyle w:val="Bodytext2"/>
        <w:spacing w:before="0"/>
        <w:rPr>
          <w:sz w:val="2"/>
          <w:szCs w:val="2"/>
        </w:rPr>
      </w:pPr>
      <w:r w:rsidRPr="00416A3F">
        <w:rPr>
          <w:szCs w:val="15"/>
        </w:rPr>
        <w:t xml:space="preserve">Wärtsilä has long-term incentive schemes, which can be settled in company shares. These contingently issuable ordinary shares are issuable when certain pre-defined conditions in the incentive programmes are met during a </w:t>
      </w:r>
      <w:r w:rsidRPr="00416A3F">
        <w:rPr>
          <w:szCs w:val="15"/>
        </w:rPr>
        <w:t xml:space="preserve">timeframe set in the incentive programmes’ conditions. If the settlement would happen at the reporting date, it would result in issuing </w:t>
      </w:r>
      <w:r>
        <w:rPr>
          <w:szCs w:val="15"/>
        </w:rPr>
        <w:t>1,326</w:t>
      </w:r>
      <w:r w:rsidRPr="00416A3F">
        <w:rPr>
          <w:szCs w:val="15"/>
        </w:rPr>
        <w:t>,</w:t>
      </w:r>
      <w:r>
        <w:rPr>
          <w:szCs w:val="15"/>
        </w:rPr>
        <w:t>045</w:t>
      </w:r>
      <w:r w:rsidRPr="00416A3F">
        <w:rPr>
          <w:szCs w:val="15"/>
        </w:rPr>
        <w:t xml:space="preserve"> shares. These shares are considered as potential ordinary shares causing dilutive effect to the EPS.</w:t>
      </w:r>
      <w:r>
        <w:rPr>
          <w:szCs w:val="15"/>
        </w:rPr>
        <w:br w:type="column"/>
      </w:r>
      <w:r w:rsidRPr="00163ED9">
        <w:rPr>
          <w:sz w:val="2"/>
          <w:szCs w:val="2"/>
        </w:rPr>
        <w:t xml:space="preserve">     </w:t>
      </w:r>
    </w:p>
    <w:tbl>
      <w:tblPr>
        <w:tblStyle w:val="TableNormal"/>
        <w:tblCaption w:val="table_EPS"/>
        <w:tblW w:w="7365" w:type="dxa"/>
        <w:tblLayout w:type="fixed"/>
        <w:tblLook w:val="0600"/>
      </w:tblPr>
      <w:tblGrid>
        <w:gridCol w:w="4845"/>
        <w:gridCol w:w="1260"/>
        <w:gridCol w:w="1260"/>
      </w:tblGrid>
      <w:tr>
        <w:tblPrEx>
          <w:tblW w:w="7365" w:type="dxa"/>
          <w:tblLayout w:type="fixed"/>
          <w:tblLook w:val="0600"/>
        </w:tblPrEx>
        <w:trPr>
          <w:trHeight w:hRule="exact" w:val="240"/>
        </w:trPr>
        <w:tc>
          <w:tcPr>
            <w:tcW w:w="48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6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6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4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Profit for the financial period attributable to equity holders of the parent company</w:t>
            </w:r>
          </w:p>
        </w:tc>
        <w:tc>
          <w:tcPr>
            <w:tcW w:w="126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194</w:t>
            </w:r>
          </w:p>
        </w:tc>
        <w:tc>
          <w:tcPr>
            <w:tcW w:w="126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6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6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4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Weighted average number of shares outstanding during the period</w:t>
            </w:r>
          </w:p>
        </w:tc>
        <w:tc>
          <w:tcPr>
            <w:tcW w:w="126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590,579,335</w:t>
            </w:r>
          </w:p>
        </w:tc>
        <w:tc>
          <w:tcPr>
            <w:tcW w:w="126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591,723,390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45"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Weighted average number of dilutive potential ordinary shares during the period</w:t>
            </w:r>
          </w:p>
        </w:tc>
        <w:tc>
          <w:tcPr>
            <w:tcW w:w="126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1,326,045</w:t>
            </w:r>
          </w:p>
        </w:tc>
        <w:tc>
          <w:tcPr>
            <w:tcW w:w="126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4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Weighted average number of shares outstanding during the period to be used in the calculation of diluted EPS</w:t>
            </w:r>
          </w:p>
        </w:tc>
        <w:tc>
          <w:tcPr>
            <w:tcW w:w="126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591,905,380</w:t>
            </w:r>
          </w:p>
        </w:tc>
        <w:tc>
          <w:tcPr>
            <w:tcW w:w="126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6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6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4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Earnings per share attributable to equity holders of the parent company:</w:t>
            </w:r>
          </w:p>
        </w:tc>
        <w:tc>
          <w:tcPr>
            <w:tcW w:w="126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6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4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Earnings per share (EPS), basic, EUR</w:t>
            </w:r>
          </w:p>
        </w:tc>
        <w:tc>
          <w:tcPr>
            <w:tcW w:w="126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0.33</w:t>
            </w:r>
          </w:p>
        </w:tc>
        <w:tc>
          <w:tcPr>
            <w:tcW w:w="126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0.23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4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Earnings per share (EPS), diluted, EUR</w:t>
            </w:r>
          </w:p>
        </w:tc>
        <w:tc>
          <w:tcPr>
            <w:tcW w:w="126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0.33</w:t>
            </w:r>
          </w:p>
        </w:tc>
        <w:tc>
          <w:tcPr>
            <w:tcW w:w="126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r>
    </w:tbl>
    <w:p w:rsidR="002930E7" w:rsidP="002930E7" w14:paraId="68C7B63E" w14:textId="77777777">
      <w:pPr>
        <w:pStyle w:val="Bodytext2"/>
        <w:rPr>
          <w:szCs w:val="15"/>
        </w:rPr>
      </w:pPr>
    </w:p>
    <w:p w:rsidR="002930E7" w:rsidRPr="000D09DD" w:rsidP="002930E7" w14:paraId="50A75A57" w14:textId="5BBC8A41">
      <w:pPr>
        <w:pStyle w:val="Bodytext2"/>
        <w:rPr>
          <w:sz w:val="2"/>
          <w:szCs w:val="2"/>
        </w:rPr>
      </w:pPr>
      <w:r>
        <w:rPr>
          <w:szCs w:val="15"/>
        </w:rPr>
        <w:t>Additional information on the number of shares is presented in Note 5.5. Equity.</w:t>
      </w:r>
      <w:r>
        <w:rPr>
          <w:szCs w:val="15"/>
        </w:rPr>
        <w:br w:type="column"/>
      </w:r>
    </w:p>
    <w:p w:rsidR="009E7364" w:rsidP="002D612E" w14:paraId="4E4E94E8" w14:textId="77777777">
      <w:pPr>
        <w:pStyle w:val="Heading11"/>
      </w:pPr>
      <w:bookmarkStart w:id="1465" w:name="RG_MARKER_7256"/>
      <w:bookmarkStart w:id="1466" w:name="RG_MARKER_7335"/>
      <w:r>
        <w:rPr>
          <w:noProof/>
        </w:rPr>
        <w:drawing>
          <wp:anchor distT="0" distB="0" distL="114300" distR="114300" simplePos="0" relativeHeight="251670528" behindDoc="1" locked="0" layoutInCell="1" allowOverlap="1">
            <wp:simplePos x="0" y="0"/>
            <wp:positionH relativeFrom="page">
              <wp:posOffset>0</wp:posOffset>
            </wp:positionH>
            <wp:positionV relativeFrom="page">
              <wp:posOffset>1155940</wp:posOffset>
            </wp:positionV>
            <wp:extent cx="5115600" cy="5580000"/>
            <wp:effectExtent l="0" t="0" r="8890" b="1905"/>
            <wp:wrapNone/>
            <wp:docPr id="862209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148187" name="Picture 1"/>
                    <pic:cNvPicPr/>
                  </pic:nvPicPr>
                  <pic:blipFill>
                    <a:blip xmlns:r="http://schemas.openxmlformats.org/officeDocument/2006/relationships" r:embed="rId54">
                      <a:extLst>
                        <a:ext xmlns:a="http://schemas.openxmlformats.org/drawingml/2006/main" uri="{28A0092B-C50C-407E-A947-70E740481C1C}">
                          <a14:useLocalDpi xmlns:a14="http://schemas.microsoft.com/office/drawing/2010/main" val="0"/>
                        </a:ext>
                      </a:extLst>
                    </a:blip>
                    <a:stretch>
                      <a:fillRect/>
                    </a:stretch>
                  </pic:blipFill>
                  <pic:spPr>
                    <a:xfrm>
                      <a:off x="0" y="0"/>
                      <a:ext cx="5115600" cy="5580000"/>
                    </a:xfrm>
                    <a:prstGeom prst="rect">
                      <a:avLst/>
                    </a:prstGeom>
                  </pic:spPr>
                </pic:pic>
              </a:graphicData>
            </a:graphic>
            <wp14:sizeRelH relativeFrom="page">
              <wp14:pctWidth>0</wp14:pctWidth>
            </wp14:sizeRelH>
            <wp14:sizeRelV relativeFrom="page">
              <wp14:pctHeight>0</wp14:pctHeight>
            </wp14:sizeRelV>
          </wp:anchor>
        </w:drawing>
      </w:r>
      <w:bookmarkEnd w:id="1466"/>
      <w:bookmarkEnd w:id="1465"/>
    </w:p>
    <w:p w:rsidR="009E7364" w:rsidP="002D612E" w14:paraId="37B377A0" w14:textId="77777777">
      <w:pPr>
        <w:pStyle w:val="Heading11"/>
      </w:pPr>
    </w:p>
    <w:p w:rsidR="009E7364" w:rsidP="002D612E" w14:paraId="7B010BD0" w14:textId="77777777">
      <w:pPr>
        <w:pStyle w:val="Heading11"/>
      </w:pPr>
    </w:p>
    <w:p w:rsidR="009F4906" w:rsidP="002D612E" w14:paraId="722F30D5" w14:textId="77777777">
      <w:pPr>
        <w:pStyle w:val="Heading11"/>
      </w:pPr>
    </w:p>
    <w:p w:rsidR="009F4906" w:rsidP="002D612E" w14:paraId="17714867" w14:textId="77777777">
      <w:pPr>
        <w:pStyle w:val="Heading11"/>
      </w:pPr>
    </w:p>
    <w:p w:rsidR="009F4906" w:rsidP="002D612E" w14:paraId="6FF355FB" w14:textId="77777777">
      <w:pPr>
        <w:pStyle w:val="Heading11"/>
      </w:pPr>
    </w:p>
    <w:p w:rsidR="009F4906" w:rsidP="002D612E" w14:paraId="653671B9" w14:textId="77777777">
      <w:pPr>
        <w:pStyle w:val="Heading11"/>
      </w:pPr>
    </w:p>
    <w:p w:rsidR="009F4906" w:rsidP="002D612E" w14:paraId="74B5A3A4" w14:textId="77777777">
      <w:pPr>
        <w:pStyle w:val="Heading11"/>
      </w:pPr>
    </w:p>
    <w:p w:rsidR="009F4906" w:rsidP="002D612E" w14:paraId="7753B7D2" w14:textId="77777777">
      <w:pPr>
        <w:pStyle w:val="Heading11"/>
      </w:pPr>
    </w:p>
    <w:p w:rsidR="009F4906" w:rsidP="002D612E" w14:paraId="61BFED32" w14:textId="77777777">
      <w:pPr>
        <w:pStyle w:val="Heading11"/>
      </w:pPr>
    </w:p>
    <w:p w:rsidR="009F4906" w:rsidP="002D612E" w14:paraId="1AFB8563" w14:textId="77777777">
      <w:pPr>
        <w:pStyle w:val="Heading11"/>
      </w:pPr>
    </w:p>
    <w:p w:rsidR="009F4906" w:rsidP="002D612E" w14:paraId="3E38E1DC" w14:textId="77777777">
      <w:pPr>
        <w:pStyle w:val="Heading11"/>
      </w:pPr>
    </w:p>
    <w:p w:rsidR="009F4906" w:rsidP="002D612E" w14:paraId="273D85EC" w14:textId="77777777">
      <w:pPr>
        <w:pStyle w:val="Heading11"/>
      </w:pPr>
    </w:p>
    <w:p w:rsidR="009F4906" w:rsidP="002D612E" w14:paraId="7E476FC5" w14:textId="77777777">
      <w:pPr>
        <w:pStyle w:val="Heading11"/>
      </w:pPr>
    </w:p>
    <w:p w:rsidR="009F4906" w:rsidP="002D612E" w14:paraId="1597CBE2" w14:textId="77777777">
      <w:pPr>
        <w:pStyle w:val="Heading11"/>
      </w:pPr>
    </w:p>
    <w:p w:rsidR="009F4906" w:rsidP="002D612E" w14:paraId="7B75658E" w14:textId="77777777">
      <w:pPr>
        <w:pStyle w:val="Heading11"/>
      </w:pPr>
    </w:p>
    <w:p w:rsidR="009F4906" w:rsidP="002D612E" w14:paraId="61C5EB39" w14:textId="77777777">
      <w:pPr>
        <w:pStyle w:val="Heading11"/>
      </w:pPr>
    </w:p>
    <w:p w:rsidR="002D612E" w:rsidP="002D612E" w14:paraId="00DDE69E" w14:textId="77777777">
      <w:pPr>
        <w:pStyle w:val="Heading11"/>
      </w:pPr>
      <w:r>
        <w:t>3. INTANGIBLE AND TANGIBLE ASSETS</w:t>
      </w:r>
    </w:p>
    <w:p w:rsidR="004F0DD2" w:rsidP="004F0DD2" w14:paraId="5BE4E701" w14:textId="77777777">
      <w:pPr>
        <w:pStyle w:val="Heading12"/>
        <w:rPr>
          <w:b w:val="0"/>
        </w:rPr>
      </w:pPr>
      <w:r>
        <w:rPr>
          <w:noProof/>
        </w:rPr>
        <mc:AlternateContent>
          <mc:Choice Requires="wps">
            <w:drawing>
              <wp:anchor distT="0" distB="0" distL="114300" distR="114300" simplePos="0" relativeHeight="251697152" behindDoc="0" locked="0" layoutInCell="1" allowOverlap="1">
                <wp:simplePos x="0" y="0"/>
                <wp:positionH relativeFrom="column">
                  <wp:posOffset>0</wp:posOffset>
                </wp:positionH>
                <wp:positionV relativeFrom="paragraph">
                  <wp:posOffset>53975</wp:posOffset>
                </wp:positionV>
                <wp:extent cx="4679950" cy="0"/>
                <wp:effectExtent l="19050" t="19050" r="25400" b="19050"/>
                <wp:wrapNone/>
                <wp:docPr id="369063634" name="Straight Connector 3"/>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3" o:spid="_x0000_s1037" style="mso-height-percent:0;mso-height-relative:page;mso-width-percent:0;mso-width-relative:margin;mso-wrap-distance-bottom:0;mso-wrap-distance-left:9pt;mso-wrap-distance-right:9pt;mso-wrap-distance-top:0;position:absolute;v-text-anchor:top;z-index:251696128" from="0,4.25pt" to="368.5pt,4.25pt" fillcolor="this" stroked="t" strokecolor="#99b7c4" strokeweight="2.25pt">
                <v:stroke endcap="round"/>
              </v:line>
            </w:pict>
          </mc:Fallback>
        </mc:AlternateContent>
      </w:r>
    </w:p>
    <w:p w:rsidR="004F0DD2" w:rsidP="004F0DD2" w14:paraId="777F06A0" w14:textId="77777777">
      <w:pPr>
        <w:pStyle w:val="Heading12"/>
        <w:rPr>
          <w:b w:val="0"/>
          <w:bCs/>
          <w:color w:val="99B7C4"/>
        </w:rPr>
      </w:pPr>
      <w:r>
        <w:rPr>
          <w:b w:val="0"/>
          <w:bCs/>
          <w:color w:val="99B7C4"/>
        </w:rPr>
        <w:t>Content in this section:</w:t>
      </w:r>
    </w:p>
    <w:p w:rsidR="004F0DD2" w:rsidP="004F0DD2" w14:paraId="5F2E17B1" w14:textId="77777777">
      <w:pPr>
        <w:pStyle w:val="Heading12"/>
        <w:ind w:left="284"/>
        <w:rPr>
          <w:color w:val="99B7C4"/>
          <w:sz w:val="12"/>
          <w:szCs w:val="12"/>
        </w:rPr>
      </w:pPr>
    </w:p>
    <w:p w:rsidR="004F0DD2" w:rsidP="004F0DD2" w14:paraId="064FCCFA" w14:textId="77777777">
      <w:pPr>
        <w:pStyle w:val="Heading12"/>
        <w:ind w:left="284"/>
        <w:rPr>
          <w:color w:val="99B7C4"/>
        </w:rPr>
      </w:pPr>
      <w:r>
        <w:rPr>
          <w:color w:val="99B7C4"/>
        </w:rPr>
        <w:t xml:space="preserve">3.1. </w:t>
      </w:r>
      <w:r w:rsidR="008A41F4">
        <w:rPr>
          <w:color w:val="99B7C4"/>
        </w:rPr>
        <w:t>GOODWILL</w:t>
      </w:r>
    </w:p>
    <w:p w:rsidR="004F0DD2" w:rsidP="004F0DD2" w14:paraId="3E7746F9" w14:textId="77777777">
      <w:pPr>
        <w:pStyle w:val="Heading12"/>
        <w:ind w:left="284"/>
        <w:rPr>
          <w:color w:val="99B7C4"/>
        </w:rPr>
      </w:pPr>
      <w:r>
        <w:rPr>
          <w:color w:val="99B7C4"/>
        </w:rPr>
        <w:t xml:space="preserve">3.2. </w:t>
      </w:r>
      <w:r w:rsidR="008A41F4">
        <w:rPr>
          <w:color w:val="99B7C4"/>
        </w:rPr>
        <w:t>OTHER INTANGIBLE ASSETS</w:t>
      </w:r>
    </w:p>
    <w:p w:rsidR="004F0DD2" w:rsidP="004F0DD2" w14:paraId="00EA821F" w14:textId="77777777">
      <w:pPr>
        <w:pStyle w:val="Heading12"/>
        <w:ind w:left="284"/>
        <w:rPr>
          <w:color w:val="99B7C4"/>
        </w:rPr>
      </w:pPr>
      <w:r>
        <w:rPr>
          <w:color w:val="99B7C4"/>
        </w:rPr>
        <w:t xml:space="preserve">3.3. </w:t>
      </w:r>
      <w:r w:rsidR="008A41F4">
        <w:rPr>
          <w:color w:val="99B7C4"/>
        </w:rPr>
        <w:t>PROPERTY, PLANT AND EQUIPMENT</w:t>
      </w:r>
    </w:p>
    <w:p w:rsidR="004F0DD2" w:rsidP="004F0DD2" w14:paraId="3F8E9390" w14:textId="77777777">
      <w:pPr>
        <w:pStyle w:val="Heading12"/>
        <w:ind w:left="284"/>
        <w:rPr>
          <w:color w:val="99B7C4"/>
        </w:rPr>
      </w:pPr>
      <w:r>
        <w:rPr>
          <w:color w:val="99B7C4"/>
        </w:rPr>
        <w:t xml:space="preserve">3.4. </w:t>
      </w:r>
      <w:r w:rsidR="008A41F4">
        <w:rPr>
          <w:color w:val="99B7C4"/>
        </w:rPr>
        <w:t>LEASES</w:t>
      </w:r>
    </w:p>
    <w:p w:rsidR="004F0DD2" w:rsidP="004F0DD2" w14:paraId="5BBFCCE9" w14:textId="77777777">
      <w:pPr>
        <w:pStyle w:val="Heading12"/>
        <w:ind w:left="284"/>
        <w:rPr>
          <w:color w:val="99B7C4"/>
        </w:rPr>
      </w:pPr>
      <w:r>
        <w:rPr>
          <w:color w:val="99B7C4"/>
        </w:rPr>
        <w:t xml:space="preserve">3.5. </w:t>
      </w:r>
      <w:r w:rsidR="008A41F4">
        <w:rPr>
          <w:color w:val="99B7C4"/>
        </w:rPr>
        <w:t>DEPRECIATION, AMORTISATION AND IMPAIRMENT</w:t>
      </w:r>
    </w:p>
    <w:p w:rsidR="004F0DD2" w:rsidP="004F0DD2" w14:paraId="6824E487" w14:textId="77777777">
      <w:pPr>
        <w:pStyle w:val="Bodytext2"/>
      </w:pPr>
      <w:r>
        <w:rPr>
          <w:noProof/>
        </w:rPr>
        <mc:AlternateContent>
          <mc:Choice Requires="wps">
            <w:drawing>
              <wp:anchor distT="0" distB="0" distL="114300" distR="114300" simplePos="0" relativeHeight="251682816" behindDoc="0" locked="0" layoutInCell="1" allowOverlap="1">
                <wp:simplePos x="0" y="0"/>
                <wp:positionH relativeFrom="column">
                  <wp:posOffset>0</wp:posOffset>
                </wp:positionH>
                <wp:positionV relativeFrom="paragraph">
                  <wp:posOffset>71755</wp:posOffset>
                </wp:positionV>
                <wp:extent cx="4679950" cy="0"/>
                <wp:effectExtent l="19050" t="19050" r="25400" b="19050"/>
                <wp:wrapNone/>
                <wp:docPr id="476393296" name="Straight Connector 2"/>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2" o:spid="_x0000_s1038" style="mso-height-percent:0;mso-height-relative:page;mso-width-percent:0;mso-width-relative:margin;mso-wrap-distance-bottom:0;mso-wrap-distance-left:9pt;mso-wrap-distance-right:9pt;mso-wrap-distance-top:0;position:absolute;v-text-anchor:top;z-index:251681792" from="0,5.65pt" to="368.5pt,5.65pt" fillcolor="this" stroked="t" strokecolor="#99b7c4" strokeweight="2.25pt">
                <v:stroke endcap="round"/>
              </v:line>
            </w:pict>
          </mc:Fallback>
        </mc:AlternateContent>
      </w:r>
    </w:p>
    <w:p w:rsidR="004F0DD2" w:rsidP="004F0DD2" w14:paraId="6A5FFFBC" w14:textId="77777777">
      <w:pPr>
        <w:pStyle w:val="Bodytext2"/>
        <w:rPr>
          <w:szCs w:val="15"/>
        </w:rPr>
      </w:pPr>
    </w:p>
    <w:p w:rsidR="004F0DD2" w:rsidRPr="004F0DD2" w:rsidP="00560C91" w14:paraId="7FE2B053" w14:textId="77777777">
      <w:pPr>
        <w:pStyle w:val="Bodytext2"/>
      </w:pPr>
    </w:p>
    <w:p w:rsidR="002D612E" w:rsidP="002D612E" w14:paraId="369368F9" w14:textId="77777777">
      <w:pPr>
        <w:pStyle w:val="Heading12"/>
      </w:pPr>
      <w:r>
        <w:t>3.1. GOODWILL</w:t>
      </w:r>
    </w:p>
    <w:tbl>
      <w:tblPr>
        <w:tblStyle w:val="TableGrid"/>
        <w:tblW w:w="7371" w:type="dxa"/>
        <w:tblLook w:val="04A0"/>
      </w:tblPr>
      <w:tblGrid>
        <w:gridCol w:w="7371"/>
      </w:tblGrid>
      <w:tr w14:paraId="196E1ED3" w14:textId="77777777" w:rsidTr="002D612E">
        <w:tblPrEx>
          <w:tblW w:w="7371" w:type="dxa"/>
          <w:tblLook w:val="04A0"/>
        </w:tblPrEx>
        <w:tc>
          <w:tcPr>
            <w:tcW w:w="6683" w:type="dxa"/>
            <w:tcBorders>
              <w:top w:val="nil"/>
              <w:left w:val="nil"/>
              <w:bottom w:val="nil"/>
              <w:right w:val="nil"/>
            </w:tcBorders>
            <w:shd w:val="clear" w:color="auto" w:fill="B6C8D1"/>
          </w:tcPr>
          <w:p w:rsidR="002D612E" w:rsidRPr="00DA38BD" w:rsidP="002D612E" w14:paraId="502EE602" w14:textId="77777777">
            <w:pPr>
              <w:pStyle w:val="Heading13"/>
              <w:rPr>
                <w:lang w:val="en-GB"/>
              </w:rPr>
            </w:pPr>
            <w:r w:rsidRPr="00DA38BD">
              <w:rPr>
                <w:lang w:val="en-GB"/>
              </w:rPr>
              <w:t xml:space="preserve">Accounting </w:t>
            </w:r>
            <w:r w:rsidRPr="00DA38BD">
              <w:rPr>
                <w:lang w:val="en-GB"/>
              </w:rPr>
              <w:t>principles</w:t>
            </w:r>
          </w:p>
          <w:p w:rsidR="002D612E" w:rsidP="002D612E" w14:paraId="323AB47E" w14:textId="77777777">
            <w:pPr>
              <w:pStyle w:val="Bodytext2"/>
              <w:rPr>
                <w:color w:val="0F172B"/>
                <w:szCs w:val="15"/>
                <w:lang w:val="en-GB"/>
              </w:rPr>
            </w:pPr>
            <w:r w:rsidRPr="00DA38BD">
              <w:rPr>
                <w:color w:val="0F172B"/>
                <w:szCs w:val="15"/>
                <w:lang w:val="en-GB"/>
              </w:rPr>
              <w:t>Goodwill is the difference between the aggregate of the acquisition-date fair value of the consideration transferred, and the acquirer’s share of the company’s net identifiable assets and liabilities measured at fair value on the acquisition dat</w:t>
            </w:r>
            <w:r w:rsidRPr="00DA38BD">
              <w:rPr>
                <w:color w:val="0F172B"/>
                <w:szCs w:val="15"/>
                <w:lang w:val="en-GB"/>
              </w:rPr>
              <w:t>e. The consideration is measured at fair value, including also the acquirer’s previously held equity interest.</w:t>
            </w:r>
          </w:p>
          <w:p w:rsidR="002430C4" w:rsidP="002D612E" w14:paraId="112B107B" w14:textId="77777777">
            <w:pPr>
              <w:pStyle w:val="Bodytext2"/>
              <w:rPr>
                <w:color w:val="0F172B"/>
                <w:szCs w:val="15"/>
                <w:lang w:val="en-GB"/>
              </w:rPr>
            </w:pPr>
          </w:p>
          <w:p w:rsidR="002430C4" w:rsidRPr="002430C4" w:rsidP="002430C4" w14:paraId="3C23F5D5" w14:textId="77777777">
            <w:pPr>
              <w:pStyle w:val="Heading13"/>
              <w:rPr>
                <w:color w:val="0F172B"/>
                <w:szCs w:val="15"/>
                <w:highlight w:val="magenta"/>
                <w:lang w:val="en-GB"/>
              </w:rPr>
            </w:pPr>
            <w:r w:rsidRPr="002430C4">
              <w:rPr>
                <w:lang w:val="en-GB"/>
              </w:rPr>
              <w:t>Goodwill allocation</w:t>
            </w:r>
          </w:p>
          <w:p w:rsidR="002430C4" w:rsidRPr="002430C4" w:rsidP="002D612E" w14:paraId="4A9ABA3B" w14:textId="77777777">
            <w:pPr>
              <w:pStyle w:val="Bodytext2"/>
              <w:rPr>
                <w:lang w:val="en-GB"/>
              </w:rPr>
            </w:pPr>
            <w:r w:rsidRPr="002F4C6A">
              <w:rPr>
                <w:lang w:val="en-GB"/>
              </w:rPr>
              <w:t>Goodwill arising from business acquisitions</w:t>
            </w:r>
            <w:r w:rsidRPr="002F4C6A">
              <w:rPr>
                <w:lang w:val="en-GB"/>
              </w:rPr>
              <w:t xml:space="preserve"> has been allocated to the operating segments and other business activities, which are also the Group’s cash generating units in impairment testing of goodwill. These are Marine Power, Marine Systems, Voyage, Energy, and Portfolio Business.</w:t>
            </w:r>
          </w:p>
          <w:p w:rsidR="002D612E" w:rsidRPr="00D56E97" w:rsidP="002D612E" w14:paraId="2CE738B6" w14:textId="77777777">
            <w:pPr>
              <w:pStyle w:val="Bodytext2"/>
              <w:rPr>
                <w:color w:val="0F172B"/>
                <w:szCs w:val="15"/>
                <w:lang w:val="en-GB"/>
              </w:rPr>
            </w:pPr>
          </w:p>
          <w:p w:rsidR="002D612E" w:rsidRPr="00D56E97" w:rsidP="002D612E" w14:paraId="3D775856" w14:textId="77777777">
            <w:pPr>
              <w:pStyle w:val="Heading13"/>
              <w:rPr>
                <w:lang w:val="en-GB"/>
              </w:rPr>
            </w:pPr>
            <w:r w:rsidRPr="00D56E97">
              <w:rPr>
                <w:lang w:val="en-GB"/>
              </w:rPr>
              <w:t xml:space="preserve">Impairment of </w:t>
            </w:r>
            <w:r w:rsidRPr="00D56E97">
              <w:rPr>
                <w:lang w:val="en-GB"/>
              </w:rPr>
              <w:t>goodwill</w:t>
            </w:r>
          </w:p>
          <w:p w:rsidR="002D612E" w:rsidRPr="00D56E97" w:rsidP="002D612E" w14:paraId="2684BA41" w14:textId="77777777">
            <w:pPr>
              <w:pStyle w:val="Bodytext2"/>
              <w:rPr>
                <w:color w:val="0F172B"/>
                <w:szCs w:val="15"/>
                <w:lang w:val="en-GB"/>
              </w:rPr>
            </w:pPr>
            <w:r w:rsidRPr="00D56E97">
              <w:rPr>
                <w:color w:val="0F172B"/>
                <w:szCs w:val="15"/>
                <w:lang w:val="en-GB"/>
              </w:rPr>
              <w:t>The carrying amount of goodwill allocated to cash generating units</w:t>
            </w:r>
            <w:r>
              <w:rPr>
                <w:color w:val="0F172B"/>
                <w:szCs w:val="15"/>
                <w:lang w:val="en-GB"/>
              </w:rPr>
              <w:t xml:space="preserve"> (CGU)</w:t>
            </w:r>
            <w:r w:rsidRPr="00D56E97">
              <w:rPr>
                <w:color w:val="0F172B"/>
                <w:szCs w:val="15"/>
                <w:lang w:val="en-GB"/>
              </w:rPr>
              <w:t xml:space="preserve"> is reviewed annually for signs of possible impairment</w:t>
            </w:r>
            <w:r>
              <w:rPr>
                <w:color w:val="0F172B"/>
                <w:szCs w:val="15"/>
                <w:lang w:val="en-GB"/>
              </w:rPr>
              <w:t>,</w:t>
            </w:r>
            <w:r w:rsidRPr="00D56E97">
              <w:rPr>
                <w:color w:val="0F172B"/>
                <w:szCs w:val="15"/>
                <w:lang w:val="en-GB"/>
              </w:rPr>
              <w:t xml:space="preserve"> or more frequently should any indication of impairment arise. If any such indication exists, the recoverable amount of </w:t>
            </w:r>
            <w:r w:rsidRPr="00D56E97">
              <w:rPr>
                <w:color w:val="0F172B"/>
                <w:szCs w:val="15"/>
                <w:lang w:val="en-GB"/>
              </w:rPr>
              <w:t>the goodwill is estimated. In order to define a possible impairment, the Group’s assets are divided into the smallest possible cash generating units, which are mainly independent of other units</w:t>
            </w:r>
            <w:r>
              <w:rPr>
                <w:color w:val="0F172B"/>
                <w:szCs w:val="15"/>
                <w:lang w:val="en-GB"/>
              </w:rPr>
              <w:t>,</w:t>
            </w:r>
            <w:r w:rsidRPr="00D56E97">
              <w:rPr>
                <w:color w:val="0F172B"/>
                <w:szCs w:val="15"/>
                <w:lang w:val="en-GB"/>
              </w:rPr>
              <w:t xml:space="preserve"> and the cash flows of which are separately identifiable and t</w:t>
            </w:r>
            <w:r w:rsidRPr="00D56E97">
              <w:rPr>
                <w:color w:val="0F172B"/>
                <w:szCs w:val="15"/>
                <w:lang w:val="en-GB"/>
              </w:rPr>
              <w:t>o a large extent independent of the cash flows of other similar units.</w:t>
            </w:r>
          </w:p>
          <w:p w:rsidR="002D612E" w:rsidRPr="00D56E97" w:rsidP="002D612E" w14:paraId="4CEA0F60" w14:textId="77777777">
            <w:pPr>
              <w:pStyle w:val="Bodytext2"/>
              <w:rPr>
                <w:color w:val="0F172B"/>
                <w:szCs w:val="15"/>
                <w:lang w:val="en-GB"/>
              </w:rPr>
            </w:pPr>
          </w:p>
          <w:p w:rsidR="002D612E" w:rsidRPr="00D56E97" w:rsidP="002D612E" w14:paraId="4A5CC5D1" w14:textId="77777777">
            <w:pPr>
              <w:pStyle w:val="Bodytext2"/>
              <w:rPr>
                <w:color w:val="0F172B"/>
                <w:szCs w:val="15"/>
                <w:lang w:val="en-GB"/>
              </w:rPr>
            </w:pPr>
            <w:r w:rsidRPr="00D56E97">
              <w:rPr>
                <w:color w:val="0F172B"/>
                <w:szCs w:val="15"/>
                <w:lang w:val="en-GB"/>
              </w:rPr>
              <w:t>An impairment loss is reco</w:t>
            </w:r>
            <w:r>
              <w:rPr>
                <w:color w:val="0F172B"/>
                <w:szCs w:val="15"/>
                <w:lang w:val="en-GB"/>
              </w:rPr>
              <w:t>gnised</w:t>
            </w:r>
            <w:r w:rsidRPr="00D56E97">
              <w:rPr>
                <w:color w:val="0F172B"/>
                <w:szCs w:val="15"/>
                <w:lang w:val="en-GB"/>
              </w:rPr>
              <w:t xml:space="preserve"> when the carrying amount of an asset is greater than its recoverable amount. The recoverable amount is the higher of an asset’s fair value less costs t</w:t>
            </w:r>
            <w:r w:rsidRPr="00D56E97">
              <w:rPr>
                <w:color w:val="0F172B"/>
                <w:szCs w:val="15"/>
                <w:lang w:val="en-GB"/>
              </w:rPr>
              <w:t>o sell and its value in use. The value in use for goodwill is based on the expected discounted future net cash flows resulting from the asset or cash generating unit.</w:t>
            </w:r>
          </w:p>
          <w:p w:rsidR="002D612E" w:rsidRPr="00D56E97" w:rsidP="002D612E" w14:paraId="641DCB00" w14:textId="77777777">
            <w:pPr>
              <w:pStyle w:val="Bodytext2"/>
              <w:rPr>
                <w:color w:val="0F172B"/>
                <w:szCs w:val="15"/>
                <w:lang w:val="en-GB"/>
              </w:rPr>
            </w:pPr>
          </w:p>
          <w:p w:rsidR="002D612E" w:rsidRPr="00D56E97" w:rsidP="002D612E" w14:paraId="6601A44D" w14:textId="77777777">
            <w:pPr>
              <w:pStyle w:val="Bodytext2"/>
              <w:rPr>
                <w:color w:val="0F172B"/>
                <w:szCs w:val="15"/>
                <w:lang w:val="en-GB"/>
              </w:rPr>
            </w:pPr>
            <w:r w:rsidRPr="00D56E97">
              <w:rPr>
                <w:color w:val="0F172B"/>
                <w:szCs w:val="15"/>
                <w:lang w:val="en-GB"/>
              </w:rPr>
              <w:t>A pre-tax rate</w:t>
            </w:r>
            <w:r>
              <w:rPr>
                <w:color w:val="0F172B"/>
                <w:szCs w:val="15"/>
                <w:lang w:val="en-GB"/>
              </w:rPr>
              <w:t>,</w:t>
            </w:r>
            <w:r w:rsidRPr="00D56E97">
              <w:rPr>
                <w:color w:val="0F172B"/>
                <w:szCs w:val="15"/>
                <w:lang w:val="en-GB"/>
              </w:rPr>
              <w:t xml:space="preserve"> which reflects the markets’ position on the time value of money and asse</w:t>
            </w:r>
            <w:r w:rsidRPr="00D56E97">
              <w:rPr>
                <w:color w:val="0F172B"/>
                <w:szCs w:val="15"/>
                <w:lang w:val="en-GB"/>
              </w:rPr>
              <w:t>t-specific risks</w:t>
            </w:r>
            <w:r>
              <w:rPr>
                <w:color w:val="0F172B"/>
                <w:szCs w:val="15"/>
                <w:lang w:val="en-GB"/>
              </w:rPr>
              <w:t>,</w:t>
            </w:r>
            <w:r w:rsidRPr="00D56E97">
              <w:rPr>
                <w:color w:val="0F172B"/>
                <w:szCs w:val="15"/>
                <w:lang w:val="en-GB"/>
              </w:rPr>
              <w:t xml:space="preserve"> is used as the discount rate.</w:t>
            </w:r>
          </w:p>
          <w:p w:rsidR="002D612E" w:rsidRPr="00D56E97" w:rsidP="002D612E" w14:paraId="68090DFD" w14:textId="77777777">
            <w:pPr>
              <w:pStyle w:val="Bodytext2"/>
              <w:rPr>
                <w:color w:val="0F172B"/>
                <w:szCs w:val="15"/>
                <w:lang w:val="en-GB"/>
              </w:rPr>
            </w:pPr>
          </w:p>
          <w:p w:rsidR="00661FD6" w:rsidRPr="00D56E97" w:rsidP="002D612E" w14:paraId="3E6A91F4" w14:textId="77777777">
            <w:pPr>
              <w:pStyle w:val="Bodytext2"/>
              <w:rPr>
                <w:color w:val="0F172B"/>
                <w:szCs w:val="15"/>
                <w:lang w:val="en-GB"/>
              </w:rPr>
            </w:pPr>
            <w:r w:rsidRPr="00D56E97">
              <w:rPr>
                <w:color w:val="0F172B"/>
                <w:szCs w:val="15"/>
                <w:lang w:val="en-GB"/>
              </w:rPr>
              <w:t xml:space="preserve">An impairment loss is recognised immediately </w:t>
            </w:r>
            <w:r>
              <w:rPr>
                <w:color w:val="0F172B"/>
                <w:szCs w:val="15"/>
                <w:lang w:val="en-GB"/>
              </w:rPr>
              <w:t>as depreciation, amortisation and impairment</w:t>
            </w:r>
            <w:r w:rsidRPr="00D56E97">
              <w:rPr>
                <w:color w:val="0F172B"/>
                <w:szCs w:val="15"/>
                <w:lang w:val="en-GB"/>
              </w:rPr>
              <w:t xml:space="preserve"> in the statement of income. An impairment loss recognised for goodwill is not reversed under any circumstances.</w:t>
            </w:r>
          </w:p>
        </w:tc>
      </w:tr>
    </w:tbl>
    <w:p w:rsidR="00577A47" w:rsidP="00661FD6" w14:paraId="30A14EAF" w14:textId="77777777">
      <w:pPr>
        <w:pStyle w:val="Bodytext2"/>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6D1A6946" w14:textId="77777777" w:rsidTr="00661FD6">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661FD6" w:rsidRPr="00D56E97" w:rsidP="00661FD6" w14:paraId="375454BC" w14:textId="77777777">
            <w:pPr>
              <w:pStyle w:val="Heading13"/>
              <w:rPr>
                <w:lang w:val="en-GB"/>
              </w:rPr>
            </w:pPr>
            <w:r w:rsidRPr="00DA38BD">
              <w:rPr>
                <w:lang w:val="en-GB"/>
              </w:rPr>
              <w:t>Accounting estimates and judgement</w:t>
            </w:r>
            <w:r>
              <w:rPr>
                <w:lang w:val="en-GB"/>
              </w:rPr>
              <w:t>s</w:t>
            </w:r>
          </w:p>
          <w:p w:rsidR="00661FD6" w:rsidRPr="00661FD6" w:rsidP="00661FD6" w14:paraId="39437CE0" w14:textId="77777777">
            <w:pPr>
              <w:pStyle w:val="Bodytext2"/>
              <w:rPr>
                <w:lang w:val="en-GB"/>
              </w:rPr>
            </w:pPr>
            <w:r>
              <w:rPr>
                <w:color w:val="0F172B"/>
                <w:szCs w:val="15"/>
                <w:lang w:val="en-GB"/>
              </w:rPr>
              <w:t>T</w:t>
            </w:r>
            <w:r w:rsidRPr="00850626">
              <w:rPr>
                <w:color w:val="0F172B"/>
                <w:szCs w:val="15"/>
                <w:lang w:val="en-GB"/>
              </w:rPr>
              <w:t>he recoverable amounts of goodwill are determined for all cash generating units annually, or more often if there is an indication of an impairment, where its value in use is determined. The value in use is determined us</w:t>
            </w:r>
            <w:r w:rsidRPr="00850626">
              <w:rPr>
                <w:color w:val="0F172B"/>
                <w:szCs w:val="15"/>
                <w:lang w:val="en-GB"/>
              </w:rPr>
              <w:t>ing estimates of future market development, such as growth and profitability, as well as other significant factors. The most important factors underlying such estimates are the net sales growth in the market area, the operating margin, the useful life of t</w:t>
            </w:r>
            <w:r w:rsidRPr="00850626">
              <w:rPr>
                <w:color w:val="0F172B"/>
                <w:szCs w:val="15"/>
                <w:lang w:val="en-GB"/>
              </w:rPr>
              <w:t>he assets, future investment needs, and the discount rate. Changes in these assumptions can significantly affect the expected future cash flows.</w:t>
            </w:r>
          </w:p>
        </w:tc>
      </w:tr>
    </w:tbl>
    <w:p w:rsidR="00661FD6" w:rsidRPr="00661FD6" w:rsidP="00661FD6" w14:paraId="2945A2B5" w14:textId="77777777">
      <w:pPr>
        <w:pStyle w:val="Bodytext2"/>
      </w:pPr>
    </w:p>
    <w:p w:rsidR="003B7751" w:rsidP="003B7751" w14:paraId="6F7FD264" w14:textId="77777777">
      <w:pPr>
        <w:pStyle w:val="Heading13"/>
      </w:pPr>
      <w:r w:rsidRPr="0054408B">
        <w:t>Goodwill 202</w:t>
      </w:r>
      <w:r>
        <w:t>1</w:t>
      </w:r>
    </w:p>
    <w:p w:rsidR="003B7751" w:rsidP="00CB7155" w14:paraId="15B741F6" w14:textId="77777777">
      <w:pPr>
        <w:pStyle w:val="Bodytext2"/>
      </w:pPr>
    </w:p>
    <w:tbl>
      <w:tblPr>
        <w:tblStyle w:val="TableNormal"/>
        <w:tblCaption w:val="table_goodwill_2021"/>
        <w:tblW w:w="7320" w:type="dxa"/>
        <w:tblLayout w:type="fixed"/>
        <w:tblLook w:val="0600"/>
      </w:tblPr>
      <w:tblGrid>
        <w:gridCol w:w="6075"/>
        <w:gridCol w:w="1245"/>
      </w:tblGrid>
      <w:tr>
        <w:tblPrEx>
          <w:tblW w:w="7320" w:type="dxa"/>
          <w:tblLayout w:type="fixed"/>
          <w:tblLook w:val="0600"/>
        </w:tblPrEx>
        <w:trPr>
          <w:trHeight w:hRule="exact" w:val="240"/>
        </w:trPr>
        <w:tc>
          <w:tcPr>
            <w:tcW w:w="607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07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Wärtsilä Group</w:t>
            </w: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0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on 1 January</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1,325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0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exchange rates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075" w:type="dxa"/>
            <w:tcBorders>
              <w:top w:val="single" w:sz="4" w:space="0" w:color="004A6B"/>
              <w:left w:val="nil"/>
              <w:bottom w:val="single" w:sz="8"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Reclassification to assets held for sale</w:t>
            </w:r>
          </w:p>
        </w:tc>
        <w:tc>
          <w:tcPr>
            <w:tcW w:w="1245"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075" w:type="dxa"/>
            <w:tcBorders>
              <w:top w:val="single" w:sz="8" w:space="0" w:color="000000"/>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Wärtsilä on 31 December</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1,374</w:t>
            </w:r>
          </w:p>
        </w:tc>
      </w:tr>
    </w:tbl>
    <w:p w:rsidR="00356980" w:rsidP="00CB7155" w14:paraId="3283DA11" w14:textId="77777777">
      <w:pPr>
        <w:pStyle w:val="Bodytext2"/>
        <w:rPr>
          <w:color w:val="0F172B"/>
          <w:szCs w:val="15"/>
        </w:rPr>
      </w:pPr>
    </w:p>
    <w:p w:rsidR="001D056B" w:rsidRPr="001D056B" w:rsidP="00CB7155" w14:paraId="075193AC" w14:textId="233865C4">
      <w:pPr>
        <w:pStyle w:val="Bodytext2"/>
      </w:pPr>
      <w:r w:rsidRPr="002F4C6A">
        <w:t>During 2021</w:t>
      </w:r>
      <w:r>
        <w:t>,</w:t>
      </w:r>
      <w:r w:rsidRPr="002F4C6A">
        <w:t xml:space="preserve"> Wärtsilä has classified Delivery Centre Santander as assets held for sale. Delivery Centre Santander belongs to Marine Power.</w:t>
      </w:r>
      <w:r>
        <w:t xml:space="preserve"> </w:t>
      </w:r>
    </w:p>
    <w:p w:rsidR="001D056B" w:rsidP="00CB7155" w14:paraId="5F9AEAA0" w14:textId="77777777">
      <w:pPr>
        <w:pStyle w:val="Bodytext2"/>
        <w:rPr>
          <w:color w:val="0F172B"/>
          <w:szCs w:val="15"/>
        </w:rPr>
      </w:pPr>
    </w:p>
    <w:tbl>
      <w:tblPr>
        <w:tblStyle w:val="TableNormal"/>
        <w:tblCaption w:val="table_CGUnew"/>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00000"/>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00000"/>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 Power</w:t>
            </w:r>
          </w:p>
        </w:tc>
        <w:tc>
          <w:tcPr>
            <w:tcW w:w="870" w:type="dxa"/>
            <w:tcBorders>
              <w:top w:val="nil"/>
              <w:left w:val="nil"/>
              <w:bottom w:val="single" w:sz="8" w:space="0" w:color="000000"/>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 Systems</w:t>
            </w:r>
          </w:p>
        </w:tc>
        <w:tc>
          <w:tcPr>
            <w:tcW w:w="870" w:type="dxa"/>
            <w:tcBorders>
              <w:top w:val="nil"/>
              <w:left w:val="nil"/>
              <w:bottom w:val="single" w:sz="8" w:space="0" w:color="000000"/>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Voyage</w:t>
            </w:r>
          </w:p>
        </w:tc>
        <w:tc>
          <w:tcPr>
            <w:tcW w:w="870" w:type="dxa"/>
            <w:tcBorders>
              <w:top w:val="nil"/>
              <w:left w:val="nil"/>
              <w:bottom w:val="single" w:sz="8" w:space="0" w:color="000000"/>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Energy</w:t>
            </w:r>
          </w:p>
        </w:tc>
        <w:tc>
          <w:tcPr>
            <w:tcW w:w="870" w:type="dxa"/>
            <w:tcBorders>
              <w:top w:val="nil"/>
              <w:left w:val="nil"/>
              <w:bottom w:val="single" w:sz="8" w:space="0" w:color="000000"/>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Portfolio Business</w:t>
            </w:r>
          </w:p>
        </w:tc>
        <w:tc>
          <w:tcPr>
            <w:tcW w:w="870" w:type="dxa"/>
            <w:tcBorders>
              <w:top w:val="nil"/>
              <w:left w:val="nil"/>
              <w:bottom w:val="single" w:sz="8" w:space="0" w:color="000000"/>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00000"/>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Wärtsilä on 31 December 2021</w:t>
            </w:r>
          </w:p>
        </w:tc>
        <w:tc>
          <w:tcPr>
            <w:tcW w:w="870" w:type="dxa"/>
            <w:tcBorders>
              <w:top w:val="single" w:sz="8" w:space="0" w:color="000000"/>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553</w:t>
            </w:r>
          </w:p>
        </w:tc>
        <w:tc>
          <w:tcPr>
            <w:tcW w:w="870" w:type="dxa"/>
            <w:tcBorders>
              <w:top w:val="single" w:sz="8" w:space="0" w:color="000000"/>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171</w:t>
            </w:r>
          </w:p>
        </w:tc>
        <w:tc>
          <w:tcPr>
            <w:tcW w:w="870" w:type="dxa"/>
            <w:tcBorders>
              <w:top w:val="single" w:sz="8" w:space="0" w:color="000000"/>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101</w:t>
            </w:r>
          </w:p>
        </w:tc>
        <w:tc>
          <w:tcPr>
            <w:tcW w:w="870" w:type="dxa"/>
            <w:tcBorders>
              <w:top w:val="single" w:sz="8" w:space="0" w:color="000000"/>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520</w:t>
            </w:r>
          </w:p>
        </w:tc>
        <w:tc>
          <w:tcPr>
            <w:tcW w:w="870" w:type="dxa"/>
            <w:tcBorders>
              <w:top w:val="single" w:sz="8" w:space="0" w:color="000000"/>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w:t>
            </w:r>
          </w:p>
        </w:tc>
        <w:tc>
          <w:tcPr>
            <w:tcW w:w="870" w:type="dxa"/>
            <w:tcBorders>
              <w:top w:val="single" w:sz="8" w:space="0" w:color="000000"/>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1,374</w:t>
            </w:r>
          </w:p>
        </w:tc>
      </w:tr>
    </w:tbl>
    <w:p w:rsidR="0041008A" w:rsidP="00CB7155" w14:paraId="758A27EA" w14:textId="77777777">
      <w:pPr>
        <w:pStyle w:val="Bodytext2"/>
      </w:pPr>
    </w:p>
    <w:p w:rsidR="00072E27" w:rsidRPr="0054408B" w:rsidP="00072E27" w14:paraId="502A3A90" w14:textId="77777777">
      <w:pPr>
        <w:pStyle w:val="Heading13"/>
      </w:pPr>
      <w:r w:rsidRPr="0054408B">
        <w:t>Annual impairment testing of goodwill</w:t>
      </w:r>
    </w:p>
    <w:p w:rsidR="00072E27" w:rsidP="00072E27" w14:paraId="7F157835" w14:textId="77777777">
      <w:pPr>
        <w:pStyle w:val="Bodytext2"/>
      </w:pPr>
      <w:r w:rsidRPr="00072E27">
        <w:t>The Group performed its annual impairment testing of goodwi</w:t>
      </w:r>
      <w:r w:rsidRPr="00072E27">
        <w:t>ll during the third quarter of the year. Wärtsilä compared the recoverable amount of each business against its carrying amount to define whether there were any indications of goodwill impairment.</w:t>
      </w:r>
    </w:p>
    <w:p w:rsidR="00661FD6" w:rsidRPr="00072E27" w:rsidP="00072E27" w14:paraId="75B1778C" w14:textId="77777777">
      <w:pPr>
        <w:pStyle w:val="Bodytext2"/>
      </w:pPr>
    </w:p>
    <w:p w:rsidR="00072E27" w:rsidP="00072E27" w14:paraId="34441E16" w14:textId="77777777">
      <w:pPr>
        <w:pStyle w:val="Bodytext2"/>
      </w:pPr>
      <w:r w:rsidRPr="00072E27">
        <w:t>For Marine Power, Marine Systems, Voyage, and Energy, the r</w:t>
      </w:r>
      <w:r w:rsidRPr="00072E27">
        <w:t xml:space="preserve">ecoverable amounts were defined based on the discounted cash flow method, derived from the order </w:t>
      </w:r>
      <w:r w:rsidRPr="00F7711F">
        <w:t>book and five-year</w:t>
      </w:r>
      <w:r w:rsidRPr="00072E27">
        <w:t xml:space="preserve"> cash flow projections from </w:t>
      </w:r>
      <w:r w:rsidRPr="00F7711F">
        <w:t>strategic plans.</w:t>
      </w:r>
      <w:r w:rsidRPr="00072E27">
        <w:t xml:space="preserve"> The estimated cash flows of the CGUs were based on the utilisation of existing property, plant, </w:t>
      </w:r>
      <w:r w:rsidRPr="00072E27">
        <w:t xml:space="preserve">and equipment in their current condition with normal maintenance capital expenditure, excluding any potential future acquisitions. Cash flows beyond </w:t>
      </w:r>
      <w:r w:rsidRPr="00F7711F">
        <w:t>the five-year period</w:t>
      </w:r>
      <w:r w:rsidRPr="00072E27">
        <w:t xml:space="preserve"> were calculated using the terminal value method.</w:t>
      </w:r>
    </w:p>
    <w:p w:rsidR="00072E27" w:rsidP="00072E27" w14:paraId="3442FEF2" w14:textId="77777777">
      <w:pPr>
        <w:pStyle w:val="Bodytext2"/>
      </w:pPr>
    </w:p>
    <w:p w:rsidR="00072E27" w:rsidP="00072E27" w14:paraId="093B524C" w14:textId="77777777">
      <w:pPr>
        <w:pStyle w:val="Bodytext2"/>
      </w:pPr>
      <w:r w:rsidRPr="009457EE">
        <w:t>For</w:t>
      </w:r>
      <w:r w:rsidRPr="009457EE" w:rsidR="00F7711F">
        <w:t xml:space="preserve"> business units under </w:t>
      </w:r>
      <w:r w:rsidRPr="009457EE">
        <w:t>the Portfol</w:t>
      </w:r>
      <w:r w:rsidRPr="009457EE">
        <w:t>io Business</w:t>
      </w:r>
      <w:r>
        <w:t>,</w:t>
      </w:r>
      <w:r w:rsidRPr="009457EE">
        <w:t xml:space="preserve"> the recoverable amounts were mainly defined based on the discounted cash flow method. For one business unit, which was classified as assets held for sale at the time of the testing</w:t>
      </w:r>
      <w:r>
        <w:t>,</w:t>
      </w:r>
      <w:r w:rsidRPr="009457EE">
        <w:t xml:space="preserve"> the recoverable amount was defined based on estima</w:t>
      </w:r>
      <w:r w:rsidRPr="009457EE" w:rsidR="0043219F">
        <w:t>tions</w:t>
      </w:r>
      <w:r w:rsidRPr="009457EE">
        <w:t xml:space="preserve"> of the selling price on cash-free, debt-free basis.</w:t>
      </w:r>
    </w:p>
    <w:p w:rsidR="00661FD6" w:rsidRPr="00072E27" w:rsidP="00072E27" w14:paraId="43D0F2EB" w14:textId="77777777">
      <w:pPr>
        <w:pStyle w:val="Bodytext2"/>
      </w:pPr>
    </w:p>
    <w:p w:rsidR="00072E27" w:rsidRPr="00CB7155" w:rsidP="00CB7155" w14:paraId="4203FBE2" w14:textId="77777777">
      <w:pPr>
        <w:pStyle w:val="Bodytext2"/>
      </w:pPr>
      <w:r w:rsidRPr="00CB7155">
        <w:t>The terminal growth rate used in projections is based on management’s assessment on conservative long-term growth. The terminal growth rate used in the calculation were:</w:t>
      </w:r>
    </w:p>
    <w:p w:rsidR="00072E27" w:rsidRPr="00CB7155" w:rsidP="00CB7155" w14:paraId="2DE2F720" w14:textId="77777777">
      <w:pPr>
        <w:pStyle w:val="Bodytext2"/>
      </w:pPr>
    </w:p>
    <w:tbl>
      <w:tblPr>
        <w:tblStyle w:val="TableNormal"/>
        <w:tblCaption w:val="table_terminal_growth_rate_2021"/>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Terminal growth rate, %</w:t>
            </w:r>
          </w:p>
        </w:tc>
        <w:tc>
          <w:tcPr>
            <w:tcW w:w="1245"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Power</w:t>
            </w: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Systems</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Voyage</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Energy</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Portfolio Business</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r>
    </w:tbl>
    <w:p w:rsidR="007238DA" w:rsidRPr="00CB7155" w:rsidP="00CB7155" w14:paraId="6FB4257A" w14:textId="77777777">
      <w:pPr>
        <w:pStyle w:val="Bodytext2"/>
      </w:pPr>
    </w:p>
    <w:p w:rsidR="0053487E" w:rsidRPr="00CB7155" w:rsidP="00CB7155" w14:paraId="6D0EB22D" w14:textId="77777777">
      <w:pPr>
        <w:pStyle w:val="Bodytext2"/>
      </w:pPr>
      <w:r w:rsidRPr="00CB7155">
        <w:t>The key driver for the valuation is growth in the global economy, and in particular, the development of the global power market, the global shipbuilding industry, and the demand for any related services. The projected development of total costs in t</w:t>
      </w:r>
      <w:r w:rsidRPr="00CB7155">
        <w:t>he market affects the profitability, whereas no single cost item is considered to have a material impact. The valuation driver for new equipment sales is growth in the global economy, whereas for after sales the drivers are also the demand for related serv</w:t>
      </w:r>
      <w:r w:rsidRPr="00CB7155">
        <w:t>ices and the projected development in labour costs.</w:t>
      </w:r>
    </w:p>
    <w:p w:rsidR="0053487E" w:rsidRPr="00CB7155" w:rsidP="00CB7155" w14:paraId="67D66819" w14:textId="77777777">
      <w:pPr>
        <w:pStyle w:val="Bodytext2"/>
      </w:pPr>
    </w:p>
    <w:p w:rsidR="0053487E" w:rsidRPr="00CB7155" w:rsidP="00CB7155" w14:paraId="27647BBF" w14:textId="77777777">
      <w:pPr>
        <w:pStyle w:val="Bodytext2"/>
      </w:pPr>
      <w:r w:rsidRPr="00CB7155">
        <w:t xml:space="preserve">The applied discount rates are the weighted average pre-tax cost of capital (WACC) for each CGU as defined by Wärtsilä. The components of the WACC rates are risk-free rate, market risk premium, industry </w:t>
      </w:r>
      <w:r w:rsidRPr="00CB7155">
        <w:t>specific beta, cost of debt and debt equity ratio. Wärtsilä has used the following WACC rates for each CGU:</w:t>
      </w:r>
    </w:p>
    <w:p w:rsidR="0053487E" w:rsidRPr="00CB7155" w:rsidP="00CB7155" w14:paraId="54EC211B" w14:textId="77777777">
      <w:pPr>
        <w:pStyle w:val="Bodytext2"/>
      </w:pPr>
    </w:p>
    <w:tbl>
      <w:tblPr>
        <w:tblStyle w:val="TableNormal"/>
        <w:tblCaption w:val="table_WACC_rate_2021"/>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WACC rate, %</w:t>
            </w:r>
          </w:p>
        </w:tc>
        <w:tc>
          <w:tcPr>
            <w:tcW w:w="1245"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Power</w:t>
            </w: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Systems</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Voyage</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Energy</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Portfolio Business</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8.4</w:t>
            </w:r>
          </w:p>
        </w:tc>
      </w:tr>
    </w:tbl>
    <w:p w:rsidR="00661FD6" w:rsidRPr="00CB7155" w:rsidP="00CB7155" w14:paraId="1617A8CE" w14:textId="77777777">
      <w:pPr>
        <w:pStyle w:val="Bodytext2"/>
      </w:pPr>
    </w:p>
    <w:p w:rsidR="00FC1020" w:rsidRPr="00CB7155" w:rsidP="00CB7155" w14:paraId="24B39179" w14:textId="77777777">
      <w:pPr>
        <w:pStyle w:val="Bodytext2"/>
      </w:pPr>
      <w:r w:rsidRPr="00CB7155">
        <w:t xml:space="preserve">As a result of the impairment test, no impairment loss for the CGUs was recognised for the financial period ended on 30 </w:t>
      </w:r>
      <w:r w:rsidRPr="00CB7155">
        <w:t>September 2021. The recoverable amounts of Marine Power, Marine Systems, and Energy CGUs exceeded their respective carrying values substantially.</w:t>
      </w:r>
    </w:p>
    <w:p w:rsidR="00FC1020" w:rsidRPr="00CB7155" w:rsidP="00CB7155" w14:paraId="17E0A700" w14:textId="77777777">
      <w:pPr>
        <w:pStyle w:val="Bodytext2"/>
      </w:pPr>
      <w:r w:rsidRPr="00CB7155">
        <w:t>Also, the defined recoverable amount of Voyage CGU exceeded the carrying amount of the unit materially. The ke</w:t>
      </w:r>
      <w:r w:rsidRPr="00CB7155">
        <w:t>y assumption for Voyage CGU is that Voyage is estimated to break even within the next few years on the EBITDA level and that its growth rate will exceed the Group average. Any future negative changes in these assumptions would have an adverse impact on the</w:t>
      </w:r>
      <w:r w:rsidRPr="00CB7155">
        <w:t xml:space="preserve"> valuation of the business.</w:t>
      </w:r>
    </w:p>
    <w:p w:rsidR="00FC1020" w:rsidRPr="00CB7155" w:rsidP="00CB7155" w14:paraId="20736EE3" w14:textId="77777777">
      <w:pPr>
        <w:pStyle w:val="Bodytext2"/>
      </w:pPr>
    </w:p>
    <w:p w:rsidR="00FC1020" w:rsidRPr="00CB7155" w:rsidP="00CB7155" w14:paraId="0771C3AC" w14:textId="77777777">
      <w:pPr>
        <w:pStyle w:val="Bodytext2"/>
      </w:pPr>
      <w:r w:rsidRPr="00CB7155">
        <w:t xml:space="preserve">According to the measuring requirements related to assets held for sale, Wärtsilä has written down certain assets in Portfolio Business in 2021. </w:t>
      </w:r>
      <w:r w:rsidRPr="00CB7155" w:rsidR="00884FF9">
        <w:t xml:space="preserve">These assets were classified as assets held for sale already in </w:t>
      </w:r>
      <w:r w:rsidRPr="00CB7155" w:rsidR="00EB1A56">
        <w:t>prior</w:t>
      </w:r>
      <w:r w:rsidRPr="00CB7155" w:rsidR="00884FF9">
        <w:t xml:space="preserve"> financial year. </w:t>
      </w:r>
      <w:r w:rsidRPr="00CB7155">
        <w:t>Part of these write-downs relate to goodwill. However, based on the testing conducted in the annual impairment test, there was no additional impairment noted for Portfolio Business.</w:t>
      </w:r>
    </w:p>
    <w:p w:rsidR="00027DF0" w:rsidRPr="00CB7155" w:rsidP="00CB7155" w14:paraId="326C62B8" w14:textId="77777777">
      <w:pPr>
        <w:pStyle w:val="Bodytext2"/>
      </w:pPr>
    </w:p>
    <w:p w:rsidR="00FC1020" w:rsidRPr="00CB7155" w:rsidP="00CB7155" w14:paraId="03140065" w14:textId="77777777">
      <w:pPr>
        <w:pStyle w:val="Bodytext2"/>
      </w:pPr>
      <w:r w:rsidRPr="00CB7155">
        <w:t>There are no recent indications of impairment of goodwill after the a</w:t>
      </w:r>
      <w:r w:rsidRPr="00CB7155">
        <w:t>nnual impairment testing.</w:t>
      </w:r>
    </w:p>
    <w:p w:rsidR="003C389C" w:rsidRPr="00CB7155" w:rsidP="00CB7155" w14:paraId="315FC41C" w14:textId="77777777">
      <w:pPr>
        <w:pStyle w:val="Bodytext2"/>
      </w:pPr>
    </w:p>
    <w:p w:rsidR="003C389C" w:rsidRPr="0054408B" w:rsidP="003C389C" w14:paraId="41F34077" w14:textId="77777777">
      <w:pPr>
        <w:pStyle w:val="Heading13"/>
      </w:pPr>
      <w:r w:rsidRPr="0054408B">
        <w:t>Sensitivity analysis</w:t>
      </w:r>
    </w:p>
    <w:p w:rsidR="003C389C" w:rsidRPr="0007261F" w:rsidP="0007261F" w14:paraId="2BFCDAFE" w14:textId="77777777">
      <w:pPr>
        <w:pStyle w:val="Bodytext2"/>
      </w:pPr>
      <w:r w:rsidRPr="003C389C">
        <w:t>The management has assessed that no reasonable possible changes in the key assumptions would cause the carrying amount of any CGU to exceed</w:t>
      </w:r>
      <w:r w:rsidRPr="003C389C">
        <w:t xml:space="preserve"> its recoverable amount. A sensitivity analysis has been carried out for the valuation of the recoverable amount for each CGU by changing the assumptions used in the calculation. A </w:t>
      </w:r>
      <w:r w:rsidRPr="0007261F">
        <w:t>change in an assumption that would cause the recoverable amount to equal th</w:t>
      </w:r>
      <w:r w:rsidRPr="0007261F">
        <w:t>e carrying amount is presented in the table below separately for each CGU.</w:t>
      </w:r>
    </w:p>
    <w:p w:rsidR="003C389C" w:rsidRPr="0007261F" w:rsidP="0007261F" w14:paraId="1E69F9DF" w14:textId="77777777">
      <w:pPr>
        <w:pStyle w:val="Bodytext2"/>
      </w:pPr>
    </w:p>
    <w:tbl>
      <w:tblPr>
        <w:tblStyle w:val="TableNormal"/>
        <w:tblCaption w:val="table_sensitivity_analysis_2021"/>
        <w:tblW w:w="7350" w:type="dxa"/>
        <w:tblLayout w:type="fixed"/>
        <w:tblLook w:val="0600"/>
      </w:tblPr>
      <w:tblGrid>
        <w:gridCol w:w="3330"/>
        <w:gridCol w:w="4020"/>
      </w:tblGrid>
      <w:tr>
        <w:tblPrEx>
          <w:tblW w:w="7350" w:type="dxa"/>
          <w:tblLayout w:type="fixed"/>
          <w:tblLook w:val="0600"/>
        </w:tblPrEx>
        <w:trPr>
          <w:trHeight w:val="240"/>
        </w:trPr>
        <w:tc>
          <w:tcPr>
            <w:tcW w:w="333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402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Change</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 Power</w:t>
            </w:r>
          </w:p>
        </w:tc>
        <w:tc>
          <w:tcPr>
            <w:tcW w:w="4020"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Pre-tax discount rate</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increase more than 17 percentage points</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Terminal growth rate</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 more than 23 percentage points</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Profitability</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 more than 63 percentage</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402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 Systems</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Pre-tax discount rate</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increase more than 31 percentage points</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Terminal growth rate</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 more than 148 percentage points</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Profitability</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 more than 81 percentage</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402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Voyage</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Pre-tax discount rate</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increase more than 7 percentage points</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Terminal growth rate</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 more than 7 percentage points</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Profitability</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 more than 56 percentage</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402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Energy</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Pre-tax discount rate</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increase more than 22 percentage points</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Terminal growth rate</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 more than 37 percentage points</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Profitability</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 more than 71 percentage</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402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Portfolio Business</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Pre-tax discount rate</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increase more than 1.4 percentage points</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Terminal growth rate</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 more than 1.2 percentage points</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Profitability</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 more than 14.3 percentage</w:t>
            </w:r>
          </w:p>
        </w:tc>
      </w:tr>
    </w:tbl>
    <w:p w:rsidR="003C389C" w:rsidRPr="0007261F" w:rsidP="0007261F" w14:paraId="3CD6009C" w14:textId="77777777">
      <w:pPr>
        <w:pStyle w:val="Bodytext2"/>
      </w:pPr>
    </w:p>
    <w:p w:rsidR="003C389C" w:rsidRPr="0007261F" w:rsidP="0007261F" w14:paraId="78E24380" w14:textId="77777777">
      <w:pPr>
        <w:pStyle w:val="Bodytext2"/>
      </w:pPr>
      <w:r w:rsidRPr="0007261F">
        <w:t>In management’s opinion, the changes in the basic assumptions shall not be seen as an indication that these factors are likely to materialise.</w:t>
      </w:r>
      <w:r w:rsidRPr="0007261F">
        <w:t xml:space="preserve"> The sensitivity analyses are hypothetical and should therefore be treated with caution.</w:t>
      </w:r>
    </w:p>
    <w:p w:rsidR="00577A47" w:rsidP="00661FD6" w14:paraId="1B4475BF" w14:textId="77777777">
      <w:pPr>
        <w:pStyle w:val="Bodytext2"/>
      </w:pPr>
    </w:p>
    <w:p w:rsidR="002D612E" w:rsidRPr="0054408B" w:rsidP="002D612E" w14:paraId="2C65D7C3" w14:textId="77777777">
      <w:pPr>
        <w:pStyle w:val="Heading13"/>
      </w:pPr>
      <w:r w:rsidRPr="0054408B">
        <w:t>Goodwill 2020</w:t>
      </w:r>
    </w:p>
    <w:p w:rsidR="002D612E" w:rsidRPr="0054408B" w:rsidP="002D612E" w14:paraId="5A13103B" w14:textId="77777777">
      <w:pPr>
        <w:pStyle w:val="Bodytext2"/>
        <w:rPr>
          <w:color w:val="0F172B"/>
          <w:szCs w:val="15"/>
        </w:rPr>
      </w:pPr>
    </w:p>
    <w:tbl>
      <w:tblPr>
        <w:tblStyle w:val="TableNormal"/>
        <w:tblCaption w:val="table_goodwill_2020"/>
        <w:tblW w:w="7320" w:type="dxa"/>
        <w:tblLayout w:type="fixed"/>
        <w:tblLook w:val="0600"/>
      </w:tblPr>
      <w:tblGrid>
        <w:gridCol w:w="4830"/>
        <w:gridCol w:w="1245"/>
        <w:gridCol w:w="1245"/>
      </w:tblGrid>
      <w:tr>
        <w:tblPrEx>
          <w:tblW w:w="7320" w:type="dxa"/>
          <w:tblLayout w:type="fixed"/>
          <w:tblLook w:val="0600"/>
        </w:tblPrEx>
        <w:trPr>
          <w:trHeight w:hRule="exact" w:val="240"/>
        </w:trPr>
        <w:tc>
          <w:tcPr>
            <w:tcW w:w="6075" w:type="dxa"/>
            <w:gridSpan w:val="2"/>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Wärtsilä Group</w:t>
            </w: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075" w:type="dxa"/>
            <w:gridSpan w:val="2"/>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on 1 January</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1,380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075" w:type="dxa"/>
            <w:gridSpan w:val="2"/>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exchange rates</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Wärtsilä on 30 June</w:t>
            </w: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1,339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exchange rates</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075" w:type="dxa"/>
            <w:gridSpan w:val="2"/>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Disposals and impairments</w:t>
            </w:r>
          </w:p>
        </w:tc>
        <w:tc>
          <w:tcPr>
            <w:tcW w:w="12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Reclassification to assets held for sale</w:t>
            </w:r>
          </w:p>
        </w:tc>
        <w:tc>
          <w:tcPr>
            <w:tcW w:w="1245"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075" w:type="dxa"/>
            <w:gridSpan w:val="2"/>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Wärtsilä on 31 December</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1,325</w:t>
            </w:r>
          </w:p>
        </w:tc>
      </w:tr>
    </w:tbl>
    <w:p w:rsidR="00D0748B" w:rsidP="00712F8F" w14:paraId="68565175" w14:textId="77777777">
      <w:pPr>
        <w:pStyle w:val="Bodytext2"/>
      </w:pPr>
      <w:bookmarkStart w:id="1467" w:name="_Hlk62060275"/>
    </w:p>
    <w:p w:rsidR="00712F8F" w:rsidRPr="00712F8F" w:rsidP="0007261F" w14:paraId="527FF050" w14:textId="77777777">
      <w:pPr>
        <w:pStyle w:val="Bodytext2"/>
      </w:pPr>
      <w:r w:rsidRPr="00712F8F">
        <w:t xml:space="preserve">Disposals and impairments </w:t>
      </w:r>
      <w:r>
        <w:t>of</w:t>
      </w:r>
      <w:r w:rsidRPr="00712F8F">
        <w:t xml:space="preserve"> goodwill relate to divested businesses in Portfolio Business. These businesses were first classified as assets held for sale and later </w:t>
      </w:r>
      <w:r>
        <w:t>divested</w:t>
      </w:r>
      <w:r w:rsidRPr="00712F8F">
        <w:t xml:space="preserve">. The total impact of these divestments </w:t>
      </w:r>
      <w:r>
        <w:t>on</w:t>
      </w:r>
      <w:r w:rsidRPr="00712F8F">
        <w:t xml:space="preserve"> the profit for the financial period is presented in </w:t>
      </w:r>
      <w:r>
        <w:t>N</w:t>
      </w:r>
      <w:r w:rsidRPr="00712F8F">
        <w:t xml:space="preserve">ote 6.2. </w:t>
      </w:r>
      <w:r>
        <w:t>Disposa</w:t>
      </w:r>
      <w:r>
        <w:t>ls.</w:t>
      </w:r>
      <w:bookmarkEnd w:id="1467"/>
    </w:p>
    <w:p w:rsidR="00D001AD" w:rsidP="0007261F" w14:paraId="1132FBBE" w14:textId="77777777">
      <w:pPr>
        <w:pStyle w:val="Bodytext2"/>
      </w:pPr>
    </w:p>
    <w:p w:rsidR="00712F8F" w:rsidP="0007261F" w14:paraId="6BF050DB" w14:textId="77777777">
      <w:pPr>
        <w:pStyle w:val="Bodytext2"/>
      </w:pPr>
      <w:r w:rsidRPr="00712F8F">
        <w:t xml:space="preserve">All businesses currently presented as assets held for sale belong to Portfolio Business. The total impact </w:t>
      </w:r>
      <w:r>
        <w:t>on</w:t>
      </w:r>
      <w:r w:rsidRPr="00712F8F">
        <w:t xml:space="preserve"> the profit for the financial period is presented in </w:t>
      </w:r>
      <w:r>
        <w:t>N</w:t>
      </w:r>
      <w:r w:rsidRPr="00712F8F">
        <w:t>ote 6.3. Assets held for sale.</w:t>
      </w:r>
    </w:p>
    <w:p w:rsidR="0007261F" w:rsidP="0007261F" w14:paraId="7D5AE188" w14:textId="77777777">
      <w:pPr>
        <w:pStyle w:val="Bodytext2"/>
      </w:pPr>
    </w:p>
    <w:p w:rsidR="002D612E" w:rsidRPr="00F32CE0" w:rsidP="00F32CE0" w14:paraId="228B27E7" w14:textId="77777777">
      <w:pPr>
        <w:pStyle w:val="Heading13"/>
        <w:rPr>
          <w:color w:val="0F172B"/>
          <w:szCs w:val="15"/>
          <w:highlight w:val="magenta"/>
        </w:rPr>
      </w:pPr>
      <w:r w:rsidRPr="0054408B">
        <w:t>Goodwill allocation</w:t>
      </w:r>
    </w:p>
    <w:p w:rsidR="004807E1" w:rsidRPr="0007261F" w:rsidP="0007261F" w14:paraId="4F868862" w14:textId="77777777">
      <w:pPr>
        <w:pStyle w:val="Bodytext2"/>
      </w:pPr>
      <w:r w:rsidRPr="0007261F">
        <w:t>Goodwill arising from business acquis</w:t>
      </w:r>
      <w:r w:rsidRPr="0007261F">
        <w:t>itions has been allocated to the new operating segments and other business activities, which are also the Group’s CGUs in impairment testing of goodwill. From 1 July 2020 onwards, these are Marine Power, Marine Systems, Voyage, Energy, and Portfolio Busine</w:t>
      </w:r>
      <w:r w:rsidRPr="0007261F">
        <w:t>ss.</w:t>
      </w:r>
    </w:p>
    <w:p w:rsidR="002D612E" w:rsidRPr="0007261F" w:rsidP="0007261F" w14:paraId="772AEBAB" w14:textId="77777777">
      <w:pPr>
        <w:pStyle w:val="Bodytext2"/>
      </w:pPr>
    </w:p>
    <w:p w:rsidR="004807E1" w:rsidRPr="0007261F" w:rsidP="0007261F" w14:paraId="449FF7AE" w14:textId="77777777">
      <w:pPr>
        <w:pStyle w:val="Bodytext2"/>
      </w:pPr>
      <w:r w:rsidRPr="0007261F">
        <w:t>The reallocation has been performed using a relative value approach with minor exceptions.</w:t>
      </w:r>
    </w:p>
    <w:p w:rsidR="002D612E" w:rsidRPr="00DE7E66" w:rsidP="002D612E" w14:paraId="47EDB217" w14:textId="77777777">
      <w:pPr>
        <w:pStyle w:val="Bodytext2"/>
        <w:rPr>
          <w:color w:val="0F172B"/>
          <w:sz w:val="2"/>
          <w:szCs w:val="2"/>
        </w:rPr>
      </w:pPr>
      <w:r>
        <w:rPr>
          <w:color w:val="0F172B"/>
          <w:szCs w:val="15"/>
        </w:rPr>
        <w:br w:type="column"/>
      </w:r>
    </w:p>
    <w:tbl>
      <w:tblPr>
        <w:tblStyle w:val="TableNormal"/>
        <w:tblCaption w:val="table_goodwill_cgu_2020"/>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1.7.2020</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31.12.2020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Power</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535</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534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Systems</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165</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Voyage</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98</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Energy</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502</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502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Portfolio Business</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1,339</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1,325</w:t>
            </w:r>
          </w:p>
        </w:tc>
      </w:tr>
    </w:tbl>
    <w:p w:rsidR="002D612E" w:rsidRPr="0054408B" w:rsidP="002D612E" w14:paraId="200D856F" w14:textId="77777777">
      <w:pPr>
        <w:pStyle w:val="Bodytext2"/>
        <w:rPr>
          <w:color w:val="0F172B"/>
          <w:szCs w:val="15"/>
        </w:rPr>
      </w:pPr>
    </w:p>
    <w:p w:rsidR="002D612E" w:rsidRPr="0054408B" w:rsidP="002D612E" w14:paraId="41C4A706" w14:textId="77777777">
      <w:pPr>
        <w:pStyle w:val="Heading13"/>
      </w:pPr>
      <w:r w:rsidRPr="0054408B">
        <w:t>Intermediate impairment testing</w:t>
      </w:r>
    </w:p>
    <w:p w:rsidR="004807E1" w:rsidRPr="0007261F" w:rsidP="0007261F" w14:paraId="304877C2" w14:textId="77777777">
      <w:pPr>
        <w:pStyle w:val="Bodytext2"/>
      </w:pPr>
      <w:r w:rsidRPr="0007261F">
        <w:t>Due to the COVID-19 outbreak and the new organisational structure, Wärtsilä performed an interme</w:t>
      </w:r>
      <w:r w:rsidRPr="0007261F">
        <w:t>diate impairment testing of goodwill during the second quarter of 2020. As a result of the impairment test, no impairment loss for the CGUs was recognised for the reporting period ended 30 June 2020.</w:t>
      </w:r>
    </w:p>
    <w:p w:rsidR="002D612E" w:rsidRPr="0007261F" w:rsidP="0007261F" w14:paraId="67271A80" w14:textId="77777777">
      <w:pPr>
        <w:pStyle w:val="Bodytext2"/>
      </w:pPr>
    </w:p>
    <w:p w:rsidR="002D612E" w:rsidRPr="0054408B" w:rsidP="002D612E" w14:paraId="62309636" w14:textId="77777777">
      <w:pPr>
        <w:pStyle w:val="Heading13"/>
      </w:pPr>
      <w:r w:rsidRPr="0054408B">
        <w:t>Annual impairment testing of goodwill</w:t>
      </w:r>
    </w:p>
    <w:p w:rsidR="00040A88" w:rsidRPr="0007261F" w:rsidP="0007261F" w14:paraId="7CFF7D2A" w14:textId="77777777">
      <w:pPr>
        <w:pStyle w:val="Bodytext2"/>
      </w:pPr>
      <w:r w:rsidRPr="0007261F">
        <w:t>The Group performed its annual impairment testing of goodwill during the third quarter of the year. Wärtsilä compared the recoverable amount of each business against its carrying amount to define whether there were any indications of goodwill impairment.</w:t>
      </w:r>
    </w:p>
    <w:p w:rsidR="00040A88" w:rsidRPr="0007261F" w:rsidP="0007261F" w14:paraId="7071B582" w14:textId="77777777">
      <w:pPr>
        <w:pStyle w:val="Bodytext2"/>
      </w:pPr>
    </w:p>
    <w:p w:rsidR="00040A88" w:rsidRPr="0007261F" w:rsidP="0007261F" w14:paraId="554D22CD" w14:textId="77777777">
      <w:pPr>
        <w:pStyle w:val="Bodytext2"/>
      </w:pPr>
      <w:r w:rsidRPr="0007261F">
        <w:t>For Marine Power, Marine Systems, Voyage, and Energy, the recoverable amounts were defined based on the discounted cash flow method, derived from the order book and four-year cash flow projections. The estimated cash flows of the CGUs were based on the uti</w:t>
      </w:r>
      <w:r w:rsidRPr="0007261F">
        <w:t>lisation of existing property, plant, and equipment in their current condition with normal maintenance capital expenditure, excluding any potential future acquisitions. Cash flows beyond the four-year period were calculated using the terminal value method.</w:t>
      </w:r>
    </w:p>
    <w:p w:rsidR="00040A88" w:rsidRPr="0007261F" w:rsidP="0007261F" w14:paraId="0B3D05F1" w14:textId="77777777">
      <w:pPr>
        <w:pStyle w:val="Bodytext2"/>
      </w:pPr>
    </w:p>
    <w:p w:rsidR="00040A88" w:rsidRPr="0007261F" w:rsidP="0007261F" w14:paraId="3F199E81" w14:textId="77777777">
      <w:pPr>
        <w:pStyle w:val="Bodytext2"/>
      </w:pPr>
      <w:r w:rsidRPr="0007261F">
        <w:t>For the Portfolio Business units, which were classified as assets held for sale, the recoverable amounts were defined based on estimations of the selling price on cash-free, debt-free basis. For the other business units, the recoverable amounts were defi</w:t>
      </w:r>
      <w:r w:rsidRPr="0007261F">
        <w:t>ned based on either the discounted cash flow method or estimations of the selling price on cash-free, debt-free basis, whichever was higher at the time.</w:t>
      </w:r>
    </w:p>
    <w:p w:rsidR="00040A88" w:rsidRPr="0007261F" w:rsidP="0007261F" w14:paraId="54E29E4B" w14:textId="77777777">
      <w:pPr>
        <w:pStyle w:val="Bodytext2"/>
      </w:pPr>
    </w:p>
    <w:p w:rsidR="00040A88" w:rsidRPr="0007261F" w:rsidP="0007261F" w14:paraId="14DF7E83" w14:textId="77777777">
      <w:pPr>
        <w:pStyle w:val="Bodytext2"/>
      </w:pPr>
      <w:r w:rsidRPr="0007261F">
        <w:t>The terminal growth rate used in projections is based on management’s assessment on conservative long-</w:t>
      </w:r>
      <w:r w:rsidRPr="0007261F">
        <w:t>term growth. The terminal growth rate used in the calculation were:</w:t>
      </w:r>
    </w:p>
    <w:p w:rsidR="002D612E" w:rsidRPr="0007261F" w:rsidP="0007261F" w14:paraId="5D052435" w14:textId="77777777">
      <w:pPr>
        <w:pStyle w:val="Bodytext2"/>
      </w:pPr>
    </w:p>
    <w:tbl>
      <w:tblPr>
        <w:tblStyle w:val="TableNormal"/>
        <w:tblCaption w:val="table_terminal_growth_rate_2020"/>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Terminal growth rate, %</w:t>
            </w:r>
          </w:p>
        </w:tc>
        <w:tc>
          <w:tcPr>
            <w:tcW w:w="1245"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Power</w:t>
            </w: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Systems</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Voyage</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Energy</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Portfolio Business</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0.0</w:t>
            </w:r>
          </w:p>
        </w:tc>
      </w:tr>
    </w:tbl>
    <w:p w:rsidR="002D612E" w:rsidRPr="00F47EE8" w:rsidP="0007261F" w14:paraId="294ADD12" w14:textId="77777777">
      <w:pPr>
        <w:pStyle w:val="Bodytext2"/>
        <w:rPr>
          <w:color w:val="0F172B"/>
          <w:sz w:val="2"/>
          <w:szCs w:val="2"/>
        </w:rPr>
      </w:pPr>
      <w:r>
        <w:rPr>
          <w:color w:val="0F172B"/>
          <w:szCs w:val="15"/>
        </w:rPr>
        <w:br w:type="column"/>
      </w:r>
    </w:p>
    <w:p w:rsidR="00040A88" w:rsidRPr="00BE13D9" w:rsidP="00BE13D9" w14:paraId="380FD0E2" w14:textId="77777777">
      <w:pPr>
        <w:pStyle w:val="Bodytext2"/>
        <w:rPr>
          <w:highlight w:val="yellow"/>
        </w:rPr>
      </w:pPr>
      <w:r w:rsidRPr="00BE13D9">
        <w:t xml:space="preserve">The key driver for the valuation is growth in the global economy, and in particular, the development of the global power market, the global </w:t>
      </w:r>
      <w:r w:rsidRPr="00BE13D9">
        <w:t>shipbuilding industry, and the demand for any related services. The projected development of total costs in the market affects the profitability, whereas no single cost item is considered to have a material impact. The valuation driver for new equipment sa</w:t>
      </w:r>
      <w:r w:rsidRPr="00BE13D9">
        <w:t>les is growth in the global economy, whereas for after sales the drivers are also the demand for related services and the projected development in labour costs.</w:t>
      </w:r>
    </w:p>
    <w:p w:rsidR="002D612E" w:rsidRPr="00BE13D9" w:rsidP="00BE13D9" w14:paraId="51CD43AB" w14:textId="77777777">
      <w:pPr>
        <w:pStyle w:val="Bodytext2"/>
        <w:rPr>
          <w:highlight w:val="yellow"/>
        </w:rPr>
      </w:pPr>
    </w:p>
    <w:p w:rsidR="00040A88" w:rsidRPr="00BE13D9" w:rsidP="00BE13D9" w14:paraId="4AA9E198" w14:textId="77777777">
      <w:pPr>
        <w:pStyle w:val="Bodytext2"/>
      </w:pPr>
      <w:r w:rsidRPr="00BE13D9">
        <w:t>The applied discount rates are the weighted average pre-tax cost of capital (WACC) for each CG</w:t>
      </w:r>
      <w:r w:rsidRPr="00BE13D9">
        <w:t>U as defined by Wärtsilä. The components of the WACC rates are risk-free rate, market risk premium, industry specific beta, cost of debt and debt equity ratio. Wärtsilä has used the following WACC rates for each CGU:</w:t>
      </w:r>
    </w:p>
    <w:p w:rsidR="002D612E" w:rsidRPr="0054408B" w:rsidP="002D612E" w14:paraId="72406253" w14:textId="77777777">
      <w:pPr>
        <w:pStyle w:val="Bodytext2"/>
        <w:rPr>
          <w:color w:val="0F172B"/>
          <w:szCs w:val="15"/>
        </w:rPr>
      </w:pPr>
    </w:p>
    <w:tbl>
      <w:tblPr>
        <w:tblStyle w:val="TableNormal"/>
        <w:tblCaption w:val="table_WACC_rate_2020"/>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WACC rate, %</w:t>
            </w:r>
          </w:p>
        </w:tc>
        <w:tc>
          <w:tcPr>
            <w:tcW w:w="1245"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Power</w:t>
            </w: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Systems</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Voyage</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Energy</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Portfolio Business</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10.1</w:t>
            </w:r>
          </w:p>
        </w:tc>
      </w:tr>
    </w:tbl>
    <w:p w:rsidR="00040A88" w:rsidRPr="00BE13D9" w:rsidP="00BE13D9" w14:paraId="15AE0D7F" w14:textId="77777777">
      <w:pPr>
        <w:pStyle w:val="Bodytext2"/>
      </w:pPr>
    </w:p>
    <w:p w:rsidR="00040A88" w:rsidRPr="00BE13D9" w:rsidP="00BE13D9" w14:paraId="51488552" w14:textId="77777777">
      <w:pPr>
        <w:pStyle w:val="Bodytext2"/>
      </w:pPr>
      <w:r w:rsidRPr="00BE13D9">
        <w:t>As a result</w:t>
      </w:r>
      <w:r w:rsidRPr="00BE13D9">
        <w:t xml:space="preserve"> of the impairment test, no impairment loss for the CGUs was recognised for the financial period ended on 30 September 2020. The recoverable amounts of Marine Power, Marine Systems, and Energy CGUs exceeded their respective carrying values substantially.</w:t>
      </w:r>
    </w:p>
    <w:p w:rsidR="00040A88" w:rsidRPr="00BE13D9" w:rsidP="00BE13D9" w14:paraId="662F7FDE" w14:textId="77777777">
      <w:pPr>
        <w:pStyle w:val="Bodytext2"/>
      </w:pPr>
    </w:p>
    <w:p w:rsidR="00040A88" w:rsidRPr="00BE13D9" w:rsidP="00BE13D9" w14:paraId="474942C3" w14:textId="77777777">
      <w:pPr>
        <w:pStyle w:val="Bodytext2"/>
      </w:pPr>
      <w:r w:rsidRPr="00BE13D9">
        <w:t xml:space="preserve">Also, the defined recoverable amount of Voyage CGU exceeded the carrying amount of the unit. The key assumption for Voyage CGU is that Voyage is estimated to break even within the next few years on the EBITDA level and that its growth rate will exceed the </w:t>
      </w:r>
      <w:r w:rsidRPr="00BE13D9">
        <w:t>Group average. Any future negative changes in these assumptions would have an adverse impact on the valuation of the business.</w:t>
      </w:r>
    </w:p>
    <w:p w:rsidR="00040A88" w:rsidRPr="00BE13D9" w:rsidP="00BE13D9" w14:paraId="609307E2" w14:textId="77777777">
      <w:pPr>
        <w:pStyle w:val="Bodytext2"/>
      </w:pPr>
    </w:p>
    <w:p w:rsidR="00712F8F" w:rsidP="00BE13D9" w14:paraId="03A2492A" w14:textId="77777777">
      <w:pPr>
        <w:pStyle w:val="Bodytext2"/>
      </w:pPr>
      <w:r>
        <w:t xml:space="preserve">According to the measuring requirements related to assets held for sale, </w:t>
      </w:r>
      <w:r w:rsidRPr="00BE13D9">
        <w:t>Wärtsilä has written down</w:t>
      </w:r>
      <w:r>
        <w:t xml:space="preserve"> certain</w:t>
      </w:r>
      <w:r w:rsidRPr="00BE13D9">
        <w:t xml:space="preserve"> assets in Portfolio B</w:t>
      </w:r>
      <w:r w:rsidRPr="00BE13D9">
        <w:t>usiness</w:t>
      </w:r>
      <w:r>
        <w:t xml:space="preserve"> in 2020</w:t>
      </w:r>
      <w:r w:rsidRPr="00BE13D9">
        <w:t>. Part of these write-downs related to goodwill. However, based on the testing conducted in the annual impairment test, there was no additional impairment noted for Portfolio Business.</w:t>
      </w:r>
    </w:p>
    <w:p w:rsidR="006E61BB" w:rsidP="00BE13D9" w14:paraId="03DD7E7E" w14:textId="77777777">
      <w:pPr>
        <w:pStyle w:val="Bodytext2"/>
      </w:pPr>
    </w:p>
    <w:p w:rsidR="006E61BB" w:rsidRPr="00BE13D9" w:rsidP="00BE13D9" w14:paraId="634A5E05" w14:textId="77777777">
      <w:pPr>
        <w:pStyle w:val="Bodytext2"/>
      </w:pPr>
      <w:r w:rsidRPr="006E61BB">
        <w:t>There are no recent indications of impairment of goodwi</w:t>
      </w:r>
      <w:r w:rsidRPr="006E61BB">
        <w:t>ll after the annual impairment testing</w:t>
      </w:r>
      <w:r>
        <w:t>.</w:t>
      </w:r>
    </w:p>
    <w:p w:rsidR="0044340E" w:rsidRPr="00712F8F" w:rsidP="002D612E" w14:paraId="3705D323" w14:textId="77777777">
      <w:pPr>
        <w:pStyle w:val="Bodytext2"/>
        <w:rPr>
          <w:color w:val="0F172B"/>
          <w:szCs w:val="15"/>
          <w:lang w:val="en-GB"/>
        </w:rPr>
      </w:pPr>
    </w:p>
    <w:p w:rsidR="002D612E" w:rsidRPr="0054408B" w:rsidP="002D612E" w14:paraId="7581C013" w14:textId="77777777">
      <w:pPr>
        <w:pStyle w:val="Heading13"/>
      </w:pPr>
      <w:r w:rsidRPr="0054408B">
        <w:t>Sensitivity analysis</w:t>
      </w:r>
    </w:p>
    <w:p w:rsidR="00040A88" w:rsidP="002D612E" w14:paraId="0DB29B5B" w14:textId="77777777">
      <w:pPr>
        <w:pStyle w:val="Bodytext2"/>
        <w:rPr>
          <w:color w:val="0F172B"/>
          <w:szCs w:val="15"/>
        </w:rPr>
      </w:pPr>
      <w:r w:rsidRPr="0054408B">
        <w:rPr>
          <w:color w:val="0F172B"/>
          <w:szCs w:val="15"/>
        </w:rPr>
        <w:t xml:space="preserve">The management has </w:t>
      </w:r>
      <w:r w:rsidRPr="00D001AD">
        <w:rPr>
          <w:color w:val="0F172B"/>
          <w:szCs w:val="15"/>
        </w:rPr>
        <w:t>assessed that</w:t>
      </w:r>
      <w:r w:rsidRPr="0054408B">
        <w:rPr>
          <w:color w:val="0F172B"/>
          <w:szCs w:val="15"/>
        </w:rPr>
        <w:t xml:space="preserve"> no reasonable possible changes in the key assumptions would cause </w:t>
      </w:r>
      <w:r>
        <w:rPr>
          <w:color w:val="0F172B"/>
          <w:szCs w:val="15"/>
        </w:rPr>
        <w:t xml:space="preserve">the </w:t>
      </w:r>
      <w:r w:rsidRPr="0054408B">
        <w:rPr>
          <w:color w:val="0F172B"/>
          <w:szCs w:val="15"/>
        </w:rPr>
        <w:t xml:space="preserve">carrying amount of any CGU to exceed its recoverable amount. </w:t>
      </w:r>
      <w:r>
        <w:rPr>
          <w:color w:val="0F172B"/>
          <w:szCs w:val="15"/>
        </w:rPr>
        <w:t>A s</w:t>
      </w:r>
      <w:r w:rsidRPr="0054408B">
        <w:rPr>
          <w:color w:val="0F172B"/>
          <w:szCs w:val="15"/>
        </w:rPr>
        <w:t>ensitivity analysis has bee</w:t>
      </w:r>
      <w:r w:rsidRPr="0054408B">
        <w:rPr>
          <w:color w:val="0F172B"/>
          <w:szCs w:val="15"/>
        </w:rPr>
        <w:t>n carried out for the valuation of the recoverable amount for each CGU by changing the assumptions used in the calculation. A change in an assumption that would cause the recoverable amount to equal the carrying amount is presented in the table below separ</w:t>
      </w:r>
      <w:r w:rsidRPr="0054408B">
        <w:rPr>
          <w:color w:val="0F172B"/>
          <w:szCs w:val="15"/>
        </w:rPr>
        <w:t>ately for each CGU</w:t>
      </w:r>
      <w:r w:rsidRPr="00E827CB">
        <w:rPr>
          <w:color w:val="0F172B"/>
          <w:szCs w:val="15"/>
        </w:rPr>
        <w:t>.</w:t>
      </w:r>
    </w:p>
    <w:p w:rsidR="00441283" w:rsidRPr="006E61BB" w:rsidP="002D612E" w14:paraId="17FEAEAE" w14:textId="77777777">
      <w:pPr>
        <w:pStyle w:val="Bodytext2"/>
        <w:rPr>
          <w:color w:val="0F172B"/>
          <w:szCs w:val="15"/>
        </w:rPr>
      </w:pPr>
    </w:p>
    <w:tbl>
      <w:tblPr>
        <w:tblStyle w:val="TableNormal"/>
        <w:tblCaption w:val="table_sensitivity_analysis_2020"/>
        <w:tblW w:w="7350" w:type="dxa"/>
        <w:tblLayout w:type="fixed"/>
        <w:tblLook w:val="0600"/>
      </w:tblPr>
      <w:tblGrid>
        <w:gridCol w:w="3330"/>
        <w:gridCol w:w="4020"/>
      </w:tblGrid>
      <w:tr>
        <w:tblPrEx>
          <w:tblW w:w="7350" w:type="dxa"/>
          <w:tblLayout w:type="fixed"/>
          <w:tblLook w:val="0600"/>
        </w:tblPrEx>
        <w:trPr>
          <w:trHeight w:val="240"/>
        </w:trPr>
        <w:tc>
          <w:tcPr>
            <w:tcW w:w="333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402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Change</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 Power</w:t>
            </w:r>
          </w:p>
        </w:tc>
        <w:tc>
          <w:tcPr>
            <w:tcW w:w="402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Pre-tax discount rate</w:t>
            </w:r>
          </w:p>
        </w:tc>
        <w:tc>
          <w:tcPr>
            <w:tcW w:w="402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increase more than 8 percentage points</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Terminal growth rate</w:t>
            </w:r>
          </w:p>
        </w:tc>
        <w:tc>
          <w:tcPr>
            <w:tcW w:w="402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 more than 8 percentage points</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Profitability</w:t>
            </w:r>
          </w:p>
        </w:tc>
        <w:tc>
          <w:tcPr>
            <w:tcW w:w="402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 more than 51 percentage</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402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 Systems</w:t>
            </w:r>
          </w:p>
        </w:tc>
        <w:tc>
          <w:tcPr>
            <w:tcW w:w="402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Pre-tax discount rate</w:t>
            </w:r>
          </w:p>
        </w:tc>
        <w:tc>
          <w:tcPr>
            <w:tcW w:w="402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increase more than 25 percentage points</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Terminal growth rate</w:t>
            </w:r>
          </w:p>
        </w:tc>
        <w:tc>
          <w:tcPr>
            <w:tcW w:w="402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 more than 34 percentage points</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Profitability</w:t>
            </w:r>
          </w:p>
        </w:tc>
        <w:tc>
          <w:tcPr>
            <w:tcW w:w="402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 more than 72 percentage</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402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Voyage</w:t>
            </w:r>
          </w:p>
        </w:tc>
        <w:tc>
          <w:tcPr>
            <w:tcW w:w="402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Pre-tax discount rate</w:t>
            </w:r>
          </w:p>
        </w:tc>
        <w:tc>
          <w:tcPr>
            <w:tcW w:w="402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increase more than 4 percentage points</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Terminal growth rate</w:t>
            </w:r>
          </w:p>
        </w:tc>
        <w:tc>
          <w:tcPr>
            <w:tcW w:w="402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 more than 3 percentage points</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Profitability</w:t>
            </w:r>
          </w:p>
        </w:tc>
        <w:tc>
          <w:tcPr>
            <w:tcW w:w="402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 more than 37 percentage</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402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Energy</w:t>
            </w:r>
          </w:p>
        </w:tc>
        <w:tc>
          <w:tcPr>
            <w:tcW w:w="402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Pre-tax discount rate</w:t>
            </w:r>
          </w:p>
        </w:tc>
        <w:tc>
          <w:tcPr>
            <w:tcW w:w="402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increase more than 12 percentage points</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Terminal growth rate</w:t>
            </w:r>
          </w:p>
        </w:tc>
        <w:tc>
          <w:tcPr>
            <w:tcW w:w="402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 more than 13 percentage points</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Profitability</w:t>
            </w:r>
          </w:p>
        </w:tc>
        <w:tc>
          <w:tcPr>
            <w:tcW w:w="402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 more than 61 percentage</w:t>
            </w:r>
          </w:p>
        </w:tc>
      </w:tr>
    </w:tbl>
    <w:p w:rsidR="002D612E" w:rsidRPr="00472E43" w:rsidP="00472E43" w14:paraId="68C02119" w14:textId="77777777">
      <w:pPr>
        <w:pStyle w:val="Bodytext2"/>
      </w:pPr>
    </w:p>
    <w:p w:rsidR="002D612E" w:rsidRPr="00472E43" w:rsidP="00472E43" w14:paraId="2DC2B804" w14:textId="77777777">
      <w:pPr>
        <w:pStyle w:val="Bodytext2"/>
      </w:pPr>
      <w:r w:rsidRPr="00472E43">
        <w:t xml:space="preserve">For Portfolio Business, the recoverable amount of the CGU was mainly defined based on estimations of the selling price on a cash-free debt-free basis for each individual business unit. Thus, the </w:t>
      </w:r>
      <w:r w:rsidRPr="00472E43">
        <w:t>change in the pre-tax discount rate and in the terminal growth rate only has minimal impact on the valuation of the CGU. The recoverable amount of the CGU would need to decrease by 9 percentage to equal the carrying amount of the CGU.</w:t>
      </w:r>
    </w:p>
    <w:p w:rsidR="0054408B" w:rsidRPr="00472E43" w:rsidP="00472E43" w14:paraId="221A3591" w14:textId="77777777">
      <w:pPr>
        <w:pStyle w:val="Bodytext2"/>
        <w:rPr>
          <w:highlight w:val="yellow"/>
        </w:rPr>
      </w:pPr>
    </w:p>
    <w:p w:rsidR="00B14CC9" w:rsidRPr="002003F2" w:rsidP="00472E43" w14:paraId="6285B36C" w14:textId="77777777">
      <w:pPr>
        <w:pStyle w:val="Bodytext2"/>
        <w:rPr>
          <w:sz w:val="2"/>
          <w:szCs w:val="2"/>
        </w:rPr>
      </w:pPr>
      <w:r w:rsidRPr="00472E43">
        <w:t>In management’s opin</w:t>
      </w:r>
      <w:r w:rsidRPr="00472E43">
        <w:t>ion, the changes in the basic assumptions shall not be seen as an indication that these factors are likely to materialise. The sensitivity analyses are hypothetical and should therefore be treated with caution.</w:t>
      </w:r>
      <w:r>
        <w:br w:type="column"/>
      </w:r>
    </w:p>
    <w:p w:rsidR="00142765" w:rsidRPr="00142765" w:rsidP="00142765" w14:paraId="2C8F2BFC" w14:textId="77777777">
      <w:pPr>
        <w:pStyle w:val="Heading12"/>
      </w:pPr>
      <w:bookmarkStart w:id="1468" w:name="RG_MARKER_7339"/>
      <w:r w:rsidRPr="00142765">
        <w:t>3.2. OTHER INTANGIBLE ASSETS</w:t>
      </w:r>
      <w:bookmarkEnd w:id="1468"/>
    </w:p>
    <w:tbl>
      <w:tblPr>
        <w:tblStyle w:val="TableGrid"/>
        <w:tblW w:w="7371" w:type="dxa"/>
        <w:tblLook w:val="04A0"/>
      </w:tblPr>
      <w:tblGrid>
        <w:gridCol w:w="7371"/>
      </w:tblGrid>
      <w:tr w14:paraId="06446BC5" w14:textId="77777777" w:rsidTr="00142765">
        <w:tblPrEx>
          <w:tblW w:w="7371" w:type="dxa"/>
          <w:tblLook w:val="04A0"/>
        </w:tblPrEx>
        <w:tc>
          <w:tcPr>
            <w:tcW w:w="7371" w:type="dxa"/>
            <w:tcBorders>
              <w:top w:val="nil"/>
              <w:left w:val="nil"/>
              <w:bottom w:val="nil"/>
              <w:right w:val="nil"/>
            </w:tcBorders>
            <w:shd w:val="clear" w:color="auto" w:fill="B6C8D1"/>
          </w:tcPr>
          <w:p w:rsidR="00142765" w:rsidRPr="00FA358C" w:rsidP="00142765" w14:paraId="0B972E87" w14:textId="77777777">
            <w:pPr>
              <w:pStyle w:val="Heading13"/>
              <w:rPr>
                <w:lang w:val="en-GB"/>
              </w:rPr>
            </w:pPr>
            <w:r w:rsidRPr="00B04FCD">
              <w:rPr>
                <w:lang w:val="en-GB"/>
              </w:rPr>
              <w:t>Accounting principles</w:t>
            </w:r>
          </w:p>
          <w:p w:rsidR="00142765" w:rsidRPr="00FA358C" w:rsidP="00142765" w14:paraId="41E0AB90" w14:textId="77777777">
            <w:pPr>
              <w:pStyle w:val="Heading13"/>
              <w:rPr>
                <w:lang w:val="en-GB"/>
              </w:rPr>
            </w:pPr>
            <w:r w:rsidRPr="00FA358C">
              <w:rPr>
                <w:lang w:val="en-GB"/>
              </w:rPr>
              <w:t>Research and development costs</w:t>
            </w:r>
          </w:p>
          <w:p w:rsidR="00142765" w:rsidRPr="00FA358C" w:rsidP="00142765" w14:paraId="632287D4" w14:textId="0F4A1E17">
            <w:pPr>
              <w:pStyle w:val="Bodytext2"/>
              <w:rPr>
                <w:lang w:val="en-GB"/>
              </w:rPr>
            </w:pPr>
            <w:r w:rsidRPr="00FA358C">
              <w:rPr>
                <w:lang w:val="en-GB"/>
              </w:rPr>
              <w:t xml:space="preserve">Research costs are expensed in the </w:t>
            </w:r>
            <w:r>
              <w:rPr>
                <w:lang w:val="en-GB"/>
              </w:rPr>
              <w:t>reporting</w:t>
            </w:r>
            <w:r w:rsidRPr="00FA358C">
              <w:rPr>
                <w:lang w:val="en-GB"/>
              </w:rPr>
              <w:t xml:space="preserve"> period during which they occur. Development costs are capitalised when it is probable that the development project will generate future economic benefits for the Group and when the related criteria, including commercial and technological feasibility, have</w:t>
            </w:r>
            <w:r w:rsidRPr="00FA358C">
              <w:rPr>
                <w:lang w:val="en-GB"/>
              </w:rPr>
              <w:t xml:space="preserve"> been met. These projects involve the development of new or significantly improved products or production processes. Earlier expensed development costs are not capitalised.</w:t>
            </w:r>
          </w:p>
          <w:p w:rsidR="00142765" w:rsidRPr="00FA358C" w:rsidP="00142765" w14:paraId="3EC1CC06" w14:textId="77777777">
            <w:pPr>
              <w:pStyle w:val="Bodytext2"/>
              <w:rPr>
                <w:lang w:val="en-GB"/>
              </w:rPr>
            </w:pPr>
          </w:p>
          <w:p w:rsidR="00142765" w:rsidRPr="00FA358C" w:rsidP="00142765" w14:paraId="2BBCCD42" w14:textId="71C7B898">
            <w:pPr>
              <w:pStyle w:val="Bodytext2"/>
              <w:rPr>
                <w:lang w:val="en-GB"/>
              </w:rPr>
            </w:pPr>
            <w:r w:rsidRPr="00FA358C">
              <w:rPr>
                <w:lang w:val="en-GB"/>
              </w:rPr>
              <w:t>Capitalised development costs are measured at cost less accumulated amortisations</w:t>
            </w:r>
            <w:r w:rsidRPr="00FA358C">
              <w:rPr>
                <w:lang w:val="en-GB"/>
              </w:rPr>
              <w:t xml:space="preserve"> and impairment. Capitalised development costs are amortised and the cost of buildings, machinery, and facilities for development depreciated on a straight-line basis over their expected useful lives</w:t>
            </w:r>
            <w:r>
              <w:rPr>
                <w:lang w:val="en-GB"/>
              </w:rPr>
              <w:t xml:space="preserve"> of</w:t>
            </w:r>
            <w:r w:rsidRPr="00FA358C">
              <w:rPr>
                <w:lang w:val="en-GB"/>
              </w:rPr>
              <w:t xml:space="preserve"> 5-10 years. Amortisations are </w:t>
            </w:r>
            <w:r w:rsidRPr="00A42822">
              <w:rPr>
                <w:lang w:val="en-GB"/>
              </w:rPr>
              <w:t>started</w:t>
            </w:r>
            <w:r w:rsidRPr="00FA358C">
              <w:rPr>
                <w:lang w:val="en-GB"/>
              </w:rPr>
              <w:t xml:space="preserve"> when the asset </w:t>
            </w:r>
            <w:r w:rsidRPr="00FA358C">
              <w:rPr>
                <w:lang w:val="en-GB"/>
              </w:rPr>
              <w:t xml:space="preserve">is </w:t>
            </w:r>
            <w:r>
              <w:rPr>
                <w:lang w:val="en-GB"/>
              </w:rPr>
              <w:t>completed</w:t>
            </w:r>
            <w:r w:rsidRPr="00FA358C">
              <w:rPr>
                <w:lang w:val="en-GB"/>
              </w:rPr>
              <w:t xml:space="preserve"> and can be taken into use. Before that, the asset is tested </w:t>
            </w:r>
            <w:r>
              <w:rPr>
                <w:lang w:val="en-GB"/>
              </w:rPr>
              <w:t xml:space="preserve">annually </w:t>
            </w:r>
            <w:r w:rsidRPr="00FA358C">
              <w:rPr>
                <w:lang w:val="en-GB"/>
              </w:rPr>
              <w:t>for impairment. Grants received for research and development are reported as other operating income. Grants related to capitalised development costs are netted with the costs</w:t>
            </w:r>
            <w:r w:rsidRPr="00FA358C">
              <w:rPr>
                <w:lang w:val="en-GB"/>
              </w:rPr>
              <w:t xml:space="preserve"> </w:t>
            </w:r>
            <w:r>
              <w:rPr>
                <w:lang w:val="en-GB"/>
              </w:rPr>
              <w:t>in</w:t>
            </w:r>
            <w:r w:rsidRPr="00FA358C">
              <w:rPr>
                <w:lang w:val="en-GB"/>
              </w:rPr>
              <w:t>curred before the capitalisation.</w:t>
            </w:r>
          </w:p>
          <w:p w:rsidR="00142765" w:rsidRPr="00FA358C" w:rsidP="00142765" w14:paraId="051B36F8" w14:textId="77777777">
            <w:pPr>
              <w:pStyle w:val="Bodytext2"/>
              <w:rPr>
                <w:lang w:val="en-GB"/>
              </w:rPr>
            </w:pPr>
          </w:p>
          <w:p w:rsidR="00142765" w:rsidRPr="00FA358C" w:rsidP="00142765" w14:paraId="00188158" w14:textId="77777777">
            <w:pPr>
              <w:pStyle w:val="Heading13"/>
              <w:rPr>
                <w:lang w:val="en-GB"/>
              </w:rPr>
            </w:pPr>
            <w:r w:rsidRPr="00FA358C">
              <w:rPr>
                <w:lang w:val="en-GB"/>
              </w:rPr>
              <w:t>Other intangible assets</w:t>
            </w:r>
          </w:p>
          <w:p w:rsidR="00142765" w:rsidRPr="00FA358C" w:rsidP="00142765" w14:paraId="4726B7C1" w14:textId="2E4DF3E8">
            <w:pPr>
              <w:pStyle w:val="Bodytext2"/>
              <w:rPr>
                <w:lang w:val="en-GB"/>
              </w:rPr>
            </w:pPr>
            <w:r w:rsidRPr="00FA358C">
              <w:rPr>
                <w:lang w:val="en-GB"/>
              </w:rPr>
              <w:t>Other intangible assets are reco</w:t>
            </w:r>
            <w:r>
              <w:rPr>
                <w:lang w:val="en-GB"/>
              </w:rPr>
              <w:t>gnised</w:t>
            </w:r>
            <w:r w:rsidRPr="00FA358C">
              <w:rPr>
                <w:lang w:val="en-GB"/>
              </w:rPr>
              <w:t xml:space="preserve"> at cost if the cost is reliably measurable and the future economic benefits for the Group are probable. </w:t>
            </w:r>
            <w:r w:rsidRPr="00FA358C">
              <w:rPr>
                <w:lang w:val="en-GB"/>
              </w:rPr>
              <w:t>Wärtsilä’s</w:t>
            </w:r>
            <w:r w:rsidRPr="00FA358C">
              <w:rPr>
                <w:lang w:val="en-GB"/>
              </w:rPr>
              <w:t xml:space="preserve"> other intangible assets include patents,</w:t>
            </w:r>
            <w:r w:rsidRPr="00FA358C">
              <w:rPr>
                <w:lang w:val="en-GB"/>
              </w:rPr>
              <w:t xml:space="preserve"> licenses, software, customer relations and other intellectual property rights that can be transferred to a third party. These are measured at cost, except for intangible assets identified in connection with acquisitions, which are measured at the fair val</w:t>
            </w:r>
            <w:r w:rsidRPr="00FA358C">
              <w:rPr>
                <w:lang w:val="en-GB"/>
              </w:rPr>
              <w:t>ue at the acquisition date. The cost of intangible assets comprises the purchase price and all costs that can be directly attributed to preparing an asset for its intended use.</w:t>
            </w:r>
          </w:p>
          <w:p w:rsidR="00142765" w:rsidRPr="00FA358C" w:rsidP="00142765" w14:paraId="33643617" w14:textId="77777777">
            <w:pPr>
              <w:pStyle w:val="Bodytext2"/>
              <w:rPr>
                <w:lang w:val="en-GB"/>
              </w:rPr>
            </w:pPr>
          </w:p>
          <w:p w:rsidR="00142765" w:rsidRPr="00FA358C" w:rsidP="00142765" w14:paraId="267BE2B4" w14:textId="77777777">
            <w:pPr>
              <w:pStyle w:val="Bodytext2"/>
              <w:rPr>
                <w:lang w:val="en-GB"/>
              </w:rPr>
            </w:pPr>
            <w:r w:rsidRPr="00FA358C">
              <w:rPr>
                <w:lang w:val="en-GB"/>
              </w:rPr>
              <w:t>Other intangible assets are amortised on a straight-line basis over their esti</w:t>
            </w:r>
            <w:r w:rsidRPr="00FA358C">
              <w:rPr>
                <w:lang w:val="en-GB"/>
              </w:rPr>
              <w:t>mated useful lives. Intangible assets, for which the time limit for the right of use is agreed, are amortised over the life of the contract. Intangible assets identified in connection with acquisitions are amortised over their delivery times or estimated u</w:t>
            </w:r>
            <w:r w:rsidRPr="00FA358C">
              <w:rPr>
                <w:lang w:val="en-GB"/>
              </w:rPr>
              <w:t>seful lives.</w:t>
            </w:r>
          </w:p>
          <w:p w:rsidR="00142765" w:rsidRPr="00FA358C" w:rsidP="00142765" w14:paraId="79B4DEC4" w14:textId="77777777">
            <w:pPr>
              <w:pStyle w:val="Bodytext2"/>
              <w:rPr>
                <w:lang w:val="en-GB"/>
              </w:rPr>
            </w:pPr>
          </w:p>
          <w:p w:rsidR="00142765" w:rsidRPr="00FA358C" w:rsidP="00142765" w14:paraId="2AD2FB11" w14:textId="77777777">
            <w:pPr>
              <w:pStyle w:val="Bodytext2"/>
              <w:rPr>
                <w:lang w:val="en-GB"/>
              </w:rPr>
            </w:pPr>
            <w:r w:rsidRPr="00FA358C">
              <w:rPr>
                <w:lang w:val="en-GB"/>
              </w:rPr>
              <w:t>The general guidelines for scheduled amortisation are:</w:t>
            </w:r>
          </w:p>
          <w:p w:rsidR="00142765" w:rsidRPr="00FA358C" w:rsidP="00142765" w14:paraId="7AF68A5F" w14:textId="77777777">
            <w:pPr>
              <w:pStyle w:val="Bodytext2"/>
              <w:rPr>
                <w:lang w:val="en-GB"/>
              </w:rPr>
            </w:pPr>
            <w:r w:rsidRPr="00FA358C">
              <w:rPr>
                <w:lang w:val="en-GB"/>
              </w:rPr>
              <w:t>• Software 3-7 years</w:t>
            </w:r>
          </w:p>
          <w:p w:rsidR="00142765" w:rsidRPr="00FA358C" w:rsidP="00142765" w14:paraId="5F275E7D" w14:textId="77777777">
            <w:pPr>
              <w:pStyle w:val="Bodytext2"/>
              <w:rPr>
                <w:lang w:val="en-GB"/>
              </w:rPr>
            </w:pPr>
            <w:r w:rsidRPr="00FA358C">
              <w:rPr>
                <w:lang w:val="en-GB"/>
              </w:rPr>
              <w:t>• Development expenses 5-10 years</w:t>
            </w:r>
          </w:p>
          <w:p w:rsidR="00142765" w:rsidRPr="00FA358C" w:rsidP="00142765" w14:paraId="0460C48B" w14:textId="77777777">
            <w:pPr>
              <w:pStyle w:val="Bodytext2"/>
              <w:rPr>
                <w:lang w:val="en-GB"/>
              </w:rPr>
            </w:pPr>
            <w:r w:rsidRPr="00FA358C">
              <w:rPr>
                <w:lang w:val="en-GB"/>
              </w:rPr>
              <w:t>• Other intangible assets 5-20 years</w:t>
            </w:r>
          </w:p>
          <w:p w:rsidR="00142765" w:rsidRPr="00FA358C" w:rsidP="00142765" w14:paraId="0F60C7E4" w14:textId="77777777">
            <w:pPr>
              <w:pStyle w:val="Bodytext2"/>
              <w:rPr>
                <w:lang w:val="en-GB"/>
              </w:rPr>
            </w:pPr>
          </w:p>
          <w:p w:rsidR="00142765" w:rsidRPr="00FA358C" w:rsidP="00142765" w14:paraId="0EE11C92" w14:textId="0A79D8C5">
            <w:pPr>
              <w:pStyle w:val="Bodytext2"/>
              <w:rPr>
                <w:lang w:val="en-GB"/>
              </w:rPr>
            </w:pPr>
            <w:r>
              <w:rPr>
                <w:lang w:val="en-GB"/>
              </w:rPr>
              <w:t>The a</w:t>
            </w:r>
            <w:r w:rsidRPr="00FA358C">
              <w:rPr>
                <w:lang w:val="en-GB"/>
              </w:rPr>
              <w:t xml:space="preserve">mortisation of intangible assets is </w:t>
            </w:r>
            <w:r>
              <w:rPr>
                <w:lang w:val="en-GB"/>
              </w:rPr>
              <w:t>discontinued</w:t>
            </w:r>
            <w:r w:rsidRPr="00FA358C">
              <w:rPr>
                <w:lang w:val="en-GB"/>
              </w:rPr>
              <w:t xml:space="preserve"> when an item is classified as held for s</w:t>
            </w:r>
            <w:r w:rsidRPr="00FA358C">
              <w:rPr>
                <w:lang w:val="en-GB"/>
              </w:rPr>
              <w:t>ale.</w:t>
            </w:r>
          </w:p>
          <w:p w:rsidR="00142765" w:rsidRPr="00FA358C" w:rsidP="00142765" w14:paraId="6D11BCFE" w14:textId="77777777">
            <w:pPr>
              <w:pStyle w:val="Bodytext2"/>
              <w:rPr>
                <w:lang w:val="en-GB"/>
              </w:rPr>
            </w:pPr>
          </w:p>
          <w:p w:rsidR="00142765" w:rsidRPr="00FA358C" w:rsidP="00142765" w14:paraId="5C8C3FB4" w14:textId="3E49E945">
            <w:pPr>
              <w:pStyle w:val="Bodytext2"/>
              <w:rPr>
                <w:lang w:val="en-GB"/>
              </w:rPr>
            </w:pPr>
            <w:r w:rsidRPr="00FA358C">
              <w:rPr>
                <w:lang w:val="en-GB"/>
              </w:rPr>
              <w:t xml:space="preserve">A gain or loss arising from the sale of intangible assets is recognised </w:t>
            </w:r>
            <w:r>
              <w:rPr>
                <w:lang w:val="en-GB"/>
              </w:rPr>
              <w:t>as</w:t>
            </w:r>
            <w:r w:rsidRPr="00FA358C">
              <w:rPr>
                <w:lang w:val="en-GB"/>
              </w:rPr>
              <w:t xml:space="preserve"> other operating income or other operating expenses in the statement of income</w:t>
            </w:r>
            <w:r>
              <w:rPr>
                <w:lang w:val="en-GB"/>
              </w:rPr>
              <w:t>.</w:t>
            </w:r>
          </w:p>
          <w:p w:rsidR="00142765" w:rsidRPr="00FA358C" w:rsidP="00142765" w14:paraId="0B74B7BB" w14:textId="77777777">
            <w:pPr>
              <w:pStyle w:val="Bodytext2"/>
              <w:rPr>
                <w:lang w:val="en-GB"/>
              </w:rPr>
            </w:pPr>
          </w:p>
          <w:p w:rsidR="00142765" w:rsidRPr="00FA358C" w:rsidP="00142765" w14:paraId="17B94486" w14:textId="77777777">
            <w:pPr>
              <w:pStyle w:val="Heading13"/>
              <w:rPr>
                <w:lang w:val="en-GB"/>
              </w:rPr>
            </w:pPr>
            <w:r w:rsidRPr="00FA358C">
              <w:rPr>
                <w:lang w:val="en-GB"/>
              </w:rPr>
              <w:t>Impairment of assets</w:t>
            </w:r>
          </w:p>
          <w:p w:rsidR="00142765" w:rsidRPr="00FA358C" w:rsidP="00142765" w14:paraId="39867603" w14:textId="42410F4A">
            <w:pPr>
              <w:pStyle w:val="Bodytext2"/>
              <w:rPr>
                <w:lang w:val="en-GB"/>
              </w:rPr>
            </w:pPr>
            <w:r w:rsidRPr="00FA358C">
              <w:rPr>
                <w:lang w:val="en-GB"/>
              </w:rPr>
              <w:t>The carrying amounts of assets are reviewed annually for signs of possible</w:t>
            </w:r>
            <w:r w:rsidRPr="00FA358C">
              <w:rPr>
                <w:lang w:val="en-GB"/>
              </w:rPr>
              <w:t xml:space="preserve"> impairment or more frequently should any indication of impairment arise. If any such indication exists, the recoverable amount of the asset is estimated and compared to the carrying amount of the asset. An impairment loss is reco</w:t>
            </w:r>
            <w:r>
              <w:rPr>
                <w:lang w:val="en-GB"/>
              </w:rPr>
              <w:t>gnised</w:t>
            </w:r>
            <w:r w:rsidRPr="00FA358C">
              <w:rPr>
                <w:lang w:val="en-GB"/>
              </w:rPr>
              <w:t xml:space="preserve"> when the carrying a</w:t>
            </w:r>
            <w:r w:rsidRPr="00FA358C">
              <w:rPr>
                <w:lang w:val="en-GB"/>
              </w:rPr>
              <w:t>mount of an asset is greater than its recoverable amount. The recoverable amount is the higher of an asset’s fair value less costs to sell and its value in use.</w:t>
            </w:r>
          </w:p>
          <w:p w:rsidR="00142765" w:rsidRPr="00FA358C" w:rsidP="00142765" w14:paraId="766A26CE" w14:textId="77777777">
            <w:pPr>
              <w:pStyle w:val="Bodytext2"/>
              <w:rPr>
                <w:lang w:val="en-GB"/>
              </w:rPr>
            </w:pPr>
          </w:p>
          <w:p w:rsidR="00142765" w:rsidRPr="007B0A0B" w:rsidP="00142765" w14:paraId="2ABF419A" w14:textId="36981701">
            <w:pPr>
              <w:pStyle w:val="Bodytext2"/>
              <w:rPr>
                <w:lang w:val="en-GB"/>
              </w:rPr>
            </w:pPr>
            <w:r w:rsidRPr="00FA358C">
              <w:rPr>
                <w:lang w:val="en-GB"/>
              </w:rPr>
              <w:t xml:space="preserve">An impairment loss is recognised immediately </w:t>
            </w:r>
            <w:r>
              <w:rPr>
                <w:color w:val="0F172B"/>
                <w:szCs w:val="15"/>
                <w:lang w:val="en-GB"/>
              </w:rPr>
              <w:t xml:space="preserve">as depreciation, </w:t>
            </w:r>
            <w:r>
              <w:rPr>
                <w:color w:val="0F172B"/>
                <w:szCs w:val="15"/>
                <w:lang w:val="en-GB"/>
              </w:rPr>
              <w:t>amortisation</w:t>
            </w:r>
            <w:r>
              <w:rPr>
                <w:color w:val="0F172B"/>
                <w:szCs w:val="15"/>
                <w:lang w:val="en-GB"/>
              </w:rPr>
              <w:t xml:space="preserve"> and impairment </w:t>
            </w:r>
            <w:r w:rsidRPr="00FA358C">
              <w:rPr>
                <w:lang w:val="en-GB"/>
              </w:rPr>
              <w:t>in t</w:t>
            </w:r>
            <w:r w:rsidRPr="00FA358C">
              <w:rPr>
                <w:lang w:val="en-GB"/>
              </w:rPr>
              <w:t>he statement of income. In connection with the recognition of the impairment loss, the useful life of the amortisable asset is reassessed. An earlier impairment loss recognised for an asset is reversed if the estimates used to determine the recoverable amo</w:t>
            </w:r>
            <w:r w:rsidRPr="00FA358C">
              <w:rPr>
                <w:lang w:val="en-GB"/>
              </w:rPr>
              <w:t xml:space="preserve">unt change. However, </w:t>
            </w:r>
            <w:r>
              <w:rPr>
                <w:lang w:val="en-GB"/>
              </w:rPr>
              <w:t xml:space="preserve">any </w:t>
            </w:r>
            <w:r w:rsidRPr="00FA358C">
              <w:rPr>
                <w:lang w:val="en-GB"/>
              </w:rPr>
              <w:t>reversal of impairment shall not exceed the asset’s carrying amount less impairment loss.</w:t>
            </w:r>
          </w:p>
        </w:tc>
      </w:tr>
    </w:tbl>
    <w:p w:rsidR="00142765" w:rsidP="00142765" w14:paraId="09E7083C" w14:textId="2970FFEB">
      <w:pPr>
        <w:pStyle w:val="Bodytext2"/>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30EF6612" w14:textId="77777777" w:rsidTr="00236FD1">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236FD1" w:rsidRPr="00B04FCD" w:rsidP="00236FD1" w14:paraId="303673AC" w14:textId="77777777">
            <w:pPr>
              <w:pStyle w:val="Heading13"/>
              <w:rPr>
                <w:lang w:val="en-GB"/>
              </w:rPr>
            </w:pPr>
            <w:r w:rsidRPr="00B04FCD">
              <w:rPr>
                <w:lang w:val="en-GB"/>
              </w:rPr>
              <w:t>Accounting estimates and judgement</w:t>
            </w:r>
            <w:r>
              <w:rPr>
                <w:lang w:val="en-GB"/>
              </w:rPr>
              <w:t>s</w:t>
            </w:r>
          </w:p>
          <w:p w:rsidR="00236FD1" w:rsidP="00236FD1" w14:paraId="08E41467" w14:textId="34005797">
            <w:pPr>
              <w:pStyle w:val="Bodytext2"/>
            </w:pPr>
            <w:r w:rsidRPr="00B04FCD">
              <w:rPr>
                <w:lang w:val="en-GB"/>
              </w:rPr>
              <w:t xml:space="preserve">Assessing </w:t>
            </w:r>
            <w:r>
              <w:rPr>
                <w:lang w:val="en-GB"/>
              </w:rPr>
              <w:t xml:space="preserve">the </w:t>
            </w:r>
            <w:r w:rsidRPr="00B04FCD">
              <w:rPr>
                <w:lang w:val="en-GB"/>
              </w:rPr>
              <w:t>probability of expected future economic benefits and</w:t>
            </w:r>
            <w:r>
              <w:rPr>
                <w:lang w:val="en-GB"/>
              </w:rPr>
              <w:t xml:space="preserve"> the</w:t>
            </w:r>
            <w:r w:rsidRPr="00B04FCD">
              <w:rPr>
                <w:lang w:val="en-GB"/>
              </w:rPr>
              <w:t xml:space="preserve"> useful lives of intangible assets require management judgement. The estimated useful lives and the residual values are reviewed at least at the end of each </w:t>
            </w:r>
            <w:r>
              <w:rPr>
                <w:lang w:val="en-GB"/>
              </w:rPr>
              <w:t>reporting</w:t>
            </w:r>
            <w:r w:rsidRPr="00B04FCD">
              <w:rPr>
                <w:lang w:val="en-GB"/>
              </w:rPr>
              <w:t xml:space="preserve"> period, and if they differ significantly from previous estimates, </w:t>
            </w:r>
            <w:r>
              <w:rPr>
                <w:lang w:val="en-GB"/>
              </w:rPr>
              <w:t xml:space="preserve">the </w:t>
            </w:r>
            <w:r w:rsidRPr="00B04FCD">
              <w:rPr>
                <w:lang w:val="en-GB"/>
              </w:rPr>
              <w:t xml:space="preserve">amortisation periods are adjusted accordingly. </w:t>
            </w:r>
            <w:r w:rsidRPr="007B0A0B">
              <w:rPr>
                <w:lang w:val="en-GB"/>
              </w:rPr>
              <w:t>Also</w:t>
            </w:r>
            <w:r>
              <w:rPr>
                <w:lang w:val="en-GB"/>
              </w:rPr>
              <w:t>,</w:t>
            </w:r>
            <w:r w:rsidRPr="007B0A0B">
              <w:rPr>
                <w:lang w:val="en-GB"/>
              </w:rPr>
              <w:t xml:space="preserve"> assessing any indication of impairment requires management judgement.</w:t>
            </w:r>
          </w:p>
        </w:tc>
      </w:tr>
    </w:tbl>
    <w:p w:rsidR="00236FD1" w:rsidRPr="00142765" w:rsidP="00142765" w14:paraId="26CA0EAC" w14:textId="77777777">
      <w:pPr>
        <w:pStyle w:val="Bodytext2"/>
      </w:pPr>
    </w:p>
    <w:p w:rsidR="00142765" w:rsidRPr="00142765" w:rsidP="00142765" w14:paraId="7F33AAF4" w14:textId="77777777">
      <w:pPr>
        <w:pStyle w:val="Heading13"/>
      </w:pPr>
      <w:r w:rsidRPr="00142765">
        <w:t>2021</w:t>
      </w:r>
    </w:p>
    <w:p w:rsidR="00142765" w:rsidRPr="00142765" w:rsidP="00142765" w14:paraId="7C324594" w14:textId="77777777">
      <w:pPr>
        <w:pStyle w:val="Bodytext2"/>
      </w:pPr>
    </w:p>
    <w:tbl>
      <w:tblPr>
        <w:tblStyle w:val="TableNormal"/>
        <w:tblCaption w:val="table_intangible_assets_current"/>
        <w:tblW w:w="7305" w:type="dxa"/>
        <w:tblLayout w:type="fixed"/>
        <w:tblLook w:val="0600"/>
      </w:tblPr>
      <w:tblGrid>
        <w:gridCol w:w="3525"/>
        <w:gridCol w:w="945"/>
        <w:gridCol w:w="945"/>
        <w:gridCol w:w="945"/>
        <w:gridCol w:w="945"/>
      </w:tblGrid>
      <w:tr>
        <w:tblPrEx>
          <w:tblW w:w="7305" w:type="dxa"/>
          <w:tblLayout w:type="fixed"/>
          <w:tblLook w:val="0600"/>
        </w:tblPrEx>
        <w:trPr>
          <w:trHeight w:val="255"/>
        </w:trPr>
        <w:tc>
          <w:tcPr>
            <w:tcW w:w="35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Develop-</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ment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expenses</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Construc-</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tion in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progress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and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advances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paid</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Other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intangible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assets</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Total </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Cost on 1 January 2021</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182</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123</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829</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1,134</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exchange rates</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Additions</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53</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61</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Decreases and other changes</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Reclassifications</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25</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Cost on 31 December 2021</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211</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148</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841</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1,200</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5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Accumulated amortisation and impairment on 1 January 2021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-115</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-628</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-743</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exchange rates</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5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Accumulated amortisation on decreases and other changes</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Amortisation during the financial period</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-53</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525" w:type="dxa"/>
            <w:tcBorders>
              <w:top w:val="nil"/>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Accumulated amortisation and impairment on 31 December 2021</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-128</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-670</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-799</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Carrying amount on 31 December 2021</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83</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147</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171</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401</w:t>
            </w:r>
          </w:p>
        </w:tc>
      </w:tr>
    </w:tbl>
    <w:p w:rsidR="00142765" w:rsidRPr="00142765" w:rsidP="00142765" w14:paraId="48FF99A3" w14:textId="77777777">
      <w:pPr>
        <w:pStyle w:val="Bodytext2"/>
      </w:pPr>
    </w:p>
    <w:p w:rsidR="00142765" w:rsidRPr="00142765" w:rsidP="00142765" w14:paraId="10B5D996" w14:textId="5DCABB01">
      <w:pPr>
        <w:pStyle w:val="Bodytext2"/>
      </w:pPr>
      <w:r w:rsidRPr="00142765">
        <w:t xml:space="preserve">Development costs for internally generated assets </w:t>
      </w:r>
      <w:r w:rsidRPr="00142765">
        <w:t>capitalised</w:t>
      </w:r>
      <w:r w:rsidRPr="00142765">
        <w:t xml:space="preserve"> during the financial</w:t>
      </w:r>
      <w:r w:rsidRPr="00142765">
        <w:t xml:space="preserve"> period amounted to EUR </w:t>
      </w:r>
      <w:r>
        <w:t>51</w:t>
      </w:r>
      <w:r w:rsidRPr="00142765">
        <w:t xml:space="preserve"> million (</w:t>
      </w:r>
      <w:r>
        <w:t>52</w:t>
      </w:r>
      <w:r w:rsidRPr="00142765">
        <w:t xml:space="preserve">). The carrying amount was EUR </w:t>
      </w:r>
      <w:r>
        <w:t>223</w:t>
      </w:r>
      <w:r w:rsidRPr="00142765">
        <w:t xml:space="preserve"> million (1</w:t>
      </w:r>
      <w:r>
        <w:t>79</w:t>
      </w:r>
      <w:r w:rsidRPr="00142765">
        <w:t>).</w:t>
      </w:r>
    </w:p>
    <w:p w:rsidR="00142765" w:rsidRPr="00142765" w:rsidP="00142765" w14:paraId="2B68FB07" w14:textId="77777777">
      <w:pPr>
        <w:pStyle w:val="Bodytext2"/>
      </w:pPr>
    </w:p>
    <w:p w:rsidR="00142765" w:rsidRPr="00142765" w:rsidP="00142765" w14:paraId="75730379" w14:textId="3DF4D155">
      <w:pPr>
        <w:pStyle w:val="Bodytext2"/>
      </w:pPr>
      <w:r w:rsidRPr="00142765">
        <w:t xml:space="preserve">Purchase price allocation </w:t>
      </w:r>
      <w:r w:rsidRPr="00142765">
        <w:t>amortisation</w:t>
      </w:r>
      <w:r w:rsidRPr="00142765">
        <w:t xml:space="preserve"> amounted to EUR </w:t>
      </w:r>
      <w:r>
        <w:t>31</w:t>
      </w:r>
      <w:r w:rsidRPr="00142765">
        <w:t xml:space="preserve"> million (</w:t>
      </w:r>
      <w:r>
        <w:t>33</w:t>
      </w:r>
      <w:r w:rsidRPr="00142765">
        <w:t xml:space="preserve">) and the related carrying amount was EUR </w:t>
      </w:r>
      <w:r>
        <w:t>141</w:t>
      </w:r>
      <w:r w:rsidRPr="00142765">
        <w:t xml:space="preserve"> million (</w:t>
      </w:r>
      <w:r>
        <w:t>171</w:t>
      </w:r>
      <w:r w:rsidRPr="00142765">
        <w:t>).</w:t>
      </w:r>
    </w:p>
    <w:p w:rsidR="00142765" w:rsidRPr="00142765" w:rsidP="00142765" w14:paraId="5859212E" w14:textId="77777777">
      <w:pPr>
        <w:pStyle w:val="Bodytext2"/>
      </w:pPr>
    </w:p>
    <w:p w:rsidR="00142765" w:rsidRPr="00142765" w:rsidP="00142765" w14:paraId="6E5AD506" w14:textId="77777777">
      <w:pPr>
        <w:pStyle w:val="Heading13"/>
      </w:pPr>
      <w:r w:rsidRPr="00142765">
        <w:t>2020</w:t>
      </w:r>
    </w:p>
    <w:p w:rsidR="00142765" w:rsidRPr="00142765" w:rsidP="00142765" w14:paraId="2DAB35ED" w14:textId="77777777">
      <w:pPr>
        <w:pStyle w:val="Bodytext2"/>
      </w:pPr>
    </w:p>
    <w:tbl>
      <w:tblPr>
        <w:tblStyle w:val="TableNormal"/>
        <w:tblCaption w:val="table_intangible_assets_previous"/>
        <w:tblW w:w="7305" w:type="dxa"/>
        <w:tblLayout w:type="fixed"/>
        <w:tblLook w:val="0600"/>
      </w:tblPr>
      <w:tblGrid>
        <w:gridCol w:w="3525"/>
        <w:gridCol w:w="945"/>
        <w:gridCol w:w="945"/>
        <w:gridCol w:w="945"/>
        <w:gridCol w:w="945"/>
      </w:tblGrid>
      <w:tr>
        <w:tblPrEx>
          <w:tblW w:w="7305" w:type="dxa"/>
          <w:tblLayout w:type="fixed"/>
          <w:tblLook w:val="0600"/>
        </w:tblPrEx>
        <w:trPr>
          <w:trHeight w:val="240"/>
        </w:trPr>
        <w:tc>
          <w:tcPr>
            <w:tcW w:w="35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Develop-</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ment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expenses</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Construc-</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tion in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progress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and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advances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paid</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Other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intangible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assets</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Total </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Cost on 1 January 2020</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169</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85</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860</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1,114</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exchange rates</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Acquisitions and disposals</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Additions</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54</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Decreases and other changes</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Reclassifications</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Cost on 31 December 2020</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182</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123</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829</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1,134</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5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Accumulated amortisation and impairment on 1 January 2020</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-104</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-613</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-717</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exchange rates</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5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Accumulated amortisation on decreases and other changes</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5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Impairment</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-54</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525"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Accumulated amortisation and impairment on 31 December 2020</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52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Accumulated amortisation and impairment on 31 December 2020</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-115</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-628</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-743</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Carrying amount on 31 December 2020</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68</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122</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201</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391</w:t>
            </w:r>
          </w:p>
        </w:tc>
      </w:tr>
    </w:tbl>
    <w:p w:rsidR="00142765" w:rsidRPr="00192F38" w:rsidP="00142765" w14:paraId="1C408A8F" w14:textId="0584CEED">
      <w:pPr>
        <w:pStyle w:val="Bodytext2"/>
        <w:rPr>
          <w:sz w:val="2"/>
          <w:szCs w:val="2"/>
        </w:rPr>
      </w:pPr>
      <w:r>
        <w:br w:type="column"/>
      </w:r>
    </w:p>
    <w:p w:rsidR="009D5A4F" w:rsidP="009D5A4F" w14:paraId="2D65BDB0" w14:textId="77777777">
      <w:pPr>
        <w:pStyle w:val="Heading12"/>
      </w:pPr>
      <w:bookmarkStart w:id="1469" w:name="RG_MARKER_7338"/>
      <w:r>
        <w:t>3.3. PROPERTY, PLANT AND EQUIPMENT</w:t>
      </w:r>
      <w:bookmarkEnd w:id="1469"/>
    </w:p>
    <w:tbl>
      <w:tblPr>
        <w:tblStyle w:val="TableGrid"/>
        <w:tblW w:w="7371" w:type="dxa"/>
        <w:tblLook w:val="04A0"/>
      </w:tblPr>
      <w:tblGrid>
        <w:gridCol w:w="7371"/>
      </w:tblGrid>
      <w:tr w14:paraId="0EB9AC79" w14:textId="77777777" w:rsidTr="009D5A4F">
        <w:tblPrEx>
          <w:tblW w:w="7371" w:type="dxa"/>
          <w:tblLook w:val="04A0"/>
        </w:tblPrEx>
        <w:tc>
          <w:tcPr>
            <w:tcW w:w="7371" w:type="dxa"/>
            <w:tcBorders>
              <w:top w:val="nil"/>
              <w:left w:val="nil"/>
              <w:bottom w:val="nil"/>
              <w:right w:val="nil"/>
            </w:tcBorders>
            <w:shd w:val="clear" w:color="auto" w:fill="B6C8D1"/>
          </w:tcPr>
          <w:p w:rsidR="009D5A4F" w:rsidRPr="003331BF" w:rsidP="009D5A4F" w14:paraId="332AE1E1" w14:textId="77777777">
            <w:pPr>
              <w:pStyle w:val="Heading13"/>
              <w:rPr>
                <w:lang w:val="en-GB"/>
              </w:rPr>
            </w:pPr>
            <w:r w:rsidRPr="009E3C51">
              <w:rPr>
                <w:lang w:val="en-GB"/>
              </w:rPr>
              <w:t>Accounting principles</w:t>
            </w:r>
          </w:p>
          <w:p w:rsidR="009D5A4F" w:rsidRPr="003331BF" w:rsidP="009D5A4F" w14:paraId="0F283F85" w14:textId="295C68A5">
            <w:pPr>
              <w:pStyle w:val="Bodytext2"/>
              <w:rPr>
                <w:lang w:val="en-GB"/>
              </w:rPr>
            </w:pPr>
            <w:r w:rsidRPr="003331BF">
              <w:rPr>
                <w:lang w:val="en-GB"/>
              </w:rPr>
              <w:t xml:space="preserve">Property, </w:t>
            </w:r>
            <w:r w:rsidRPr="003331BF">
              <w:rPr>
                <w:lang w:val="en-GB"/>
              </w:rPr>
              <w:t>plant</w:t>
            </w:r>
            <w:r w:rsidRPr="003331BF">
              <w:rPr>
                <w:lang w:val="en-GB"/>
              </w:rPr>
              <w:t xml:space="preserve"> and equipment acquired by the Group are measured in the statement of financial position at cost less accumulated depreciation and impairment losses. The cost of an asset includes costs directly attributed to preparing </w:t>
            </w:r>
            <w:r w:rsidR="005E4FEF">
              <w:rPr>
                <w:lang w:val="en-GB"/>
              </w:rPr>
              <w:t>the</w:t>
            </w:r>
            <w:r w:rsidRPr="003331BF">
              <w:rPr>
                <w:lang w:val="en-GB"/>
              </w:rPr>
              <w:t xml:space="preserve"> asset for its inte</w:t>
            </w:r>
            <w:r w:rsidRPr="003331BF">
              <w:rPr>
                <w:lang w:val="en-GB"/>
              </w:rPr>
              <w:t xml:space="preserve">nded use. Grants received are reported as a reduction in costs. The property, </w:t>
            </w:r>
            <w:r w:rsidRPr="003331BF">
              <w:rPr>
                <w:lang w:val="en-GB"/>
              </w:rPr>
              <w:t>plant</w:t>
            </w:r>
            <w:r w:rsidRPr="003331BF">
              <w:rPr>
                <w:lang w:val="en-GB"/>
              </w:rPr>
              <w:t xml:space="preserve"> and equipment of acquired subsidiaries are measured at their fair value at the acquisition date. The borrowing costs that are directly attributable to the asset acquisition</w:t>
            </w:r>
            <w:r w:rsidRPr="003331BF">
              <w:rPr>
                <w:lang w:val="en-GB"/>
              </w:rPr>
              <w:t xml:space="preserve">, </w:t>
            </w:r>
            <w:r w:rsidRPr="003331BF">
              <w:rPr>
                <w:lang w:val="en-GB"/>
              </w:rPr>
              <w:t>construction</w:t>
            </w:r>
            <w:r w:rsidRPr="003331BF">
              <w:rPr>
                <w:lang w:val="en-GB"/>
              </w:rPr>
              <w:t xml:space="preserve"> or production, and to </w:t>
            </w:r>
            <w:r w:rsidR="005E4FEF">
              <w:rPr>
                <w:lang w:val="en-GB"/>
              </w:rPr>
              <w:t xml:space="preserve">the </w:t>
            </w:r>
            <w:r w:rsidRPr="003331BF">
              <w:rPr>
                <w:lang w:val="en-GB"/>
              </w:rPr>
              <w:t>completion of the asset for its intended use or sale requiring necessarily a considerable length of time, will be capitalised in the statement of financial position as part of the cost of the asset. Other than direc</w:t>
            </w:r>
            <w:r w:rsidRPr="003331BF">
              <w:rPr>
                <w:lang w:val="en-GB"/>
              </w:rPr>
              <w:t>tly attributable borrowing, costs are expensed in the period in which they are incurred.</w:t>
            </w:r>
          </w:p>
          <w:p w:rsidR="009D5A4F" w:rsidRPr="003331BF" w:rsidP="009D5A4F" w14:paraId="16198F6F" w14:textId="77777777">
            <w:pPr>
              <w:pStyle w:val="Bodytext2"/>
              <w:rPr>
                <w:lang w:val="en-GB"/>
              </w:rPr>
            </w:pPr>
          </w:p>
          <w:p w:rsidR="009D5A4F" w:rsidRPr="003331BF" w:rsidP="009D5A4F" w14:paraId="6DA05F0D" w14:textId="4063C83E">
            <w:pPr>
              <w:pStyle w:val="Bodytext2"/>
              <w:rPr>
                <w:lang w:val="en-GB"/>
              </w:rPr>
            </w:pPr>
            <w:r w:rsidRPr="003331BF">
              <w:rPr>
                <w:lang w:val="en-GB"/>
              </w:rPr>
              <w:t>Subsequent expenditure is included in the cost of an asset only if the future economic benefits are probable and the costs are reliably measurable. Expenditure relate</w:t>
            </w:r>
            <w:r w:rsidRPr="003331BF">
              <w:rPr>
                <w:lang w:val="en-GB"/>
              </w:rPr>
              <w:t xml:space="preserve">d to regular, extensive inspections and maintenance is treated as an investment, </w:t>
            </w:r>
            <w:r w:rsidRPr="003331BF">
              <w:rPr>
                <w:lang w:val="en-GB"/>
              </w:rPr>
              <w:t>capitalised</w:t>
            </w:r>
            <w:r w:rsidRPr="003331BF">
              <w:rPr>
                <w:lang w:val="en-GB"/>
              </w:rPr>
              <w:t xml:space="preserve"> and depreciated during the useful life. All other expenditure, such as ordinary maintenance and repairs, is recognised in the statement of income as an expense as </w:t>
            </w:r>
            <w:r w:rsidRPr="003331BF">
              <w:rPr>
                <w:lang w:val="en-GB"/>
              </w:rPr>
              <w:t>incurred.</w:t>
            </w:r>
          </w:p>
          <w:p w:rsidR="009D5A4F" w:rsidRPr="003331BF" w:rsidP="009D5A4F" w14:paraId="3C6B6BBC" w14:textId="77777777">
            <w:pPr>
              <w:pStyle w:val="Bodytext2"/>
              <w:rPr>
                <w:lang w:val="en-GB"/>
              </w:rPr>
            </w:pPr>
          </w:p>
          <w:p w:rsidR="009D5A4F" w:rsidRPr="003331BF" w:rsidP="009D5A4F" w14:paraId="0010E870" w14:textId="77777777">
            <w:pPr>
              <w:pStyle w:val="Bodytext2"/>
              <w:rPr>
                <w:lang w:val="en-GB"/>
              </w:rPr>
            </w:pPr>
            <w:r w:rsidRPr="003331BF">
              <w:rPr>
                <w:lang w:val="en-GB"/>
              </w:rPr>
              <w:t>Depreciation is based on the following estimated useful lives:</w:t>
            </w:r>
          </w:p>
          <w:p w:rsidR="009D5A4F" w:rsidRPr="003331BF" w:rsidP="009D5A4F" w14:paraId="23B1BBB3" w14:textId="77777777">
            <w:pPr>
              <w:pStyle w:val="Bodytext2"/>
              <w:rPr>
                <w:lang w:val="en-GB"/>
              </w:rPr>
            </w:pPr>
            <w:r w:rsidRPr="003331BF">
              <w:rPr>
                <w:lang w:val="en-GB"/>
              </w:rPr>
              <w:t>• Buildings 10-40 years</w:t>
            </w:r>
          </w:p>
          <w:p w:rsidR="009D5A4F" w:rsidRPr="003331BF" w:rsidP="009D5A4F" w14:paraId="747A7F8B" w14:textId="77777777">
            <w:pPr>
              <w:pStyle w:val="Bodytext2"/>
              <w:rPr>
                <w:lang w:val="en-GB"/>
              </w:rPr>
            </w:pPr>
            <w:r w:rsidRPr="003331BF">
              <w:rPr>
                <w:lang w:val="en-GB"/>
              </w:rPr>
              <w:t>• Machinery and equipment 5-20 years</w:t>
            </w:r>
          </w:p>
          <w:p w:rsidR="009D5A4F" w:rsidRPr="003331BF" w:rsidP="009D5A4F" w14:paraId="1A7BE3D8" w14:textId="77777777">
            <w:pPr>
              <w:pStyle w:val="Bodytext2"/>
              <w:rPr>
                <w:lang w:val="en-GB"/>
              </w:rPr>
            </w:pPr>
            <w:r w:rsidRPr="003331BF">
              <w:rPr>
                <w:lang w:val="en-GB"/>
              </w:rPr>
              <w:t>• Other tangible assets 3-10 years</w:t>
            </w:r>
          </w:p>
          <w:p w:rsidR="009D5A4F" w:rsidRPr="003331BF" w:rsidP="009D5A4F" w14:paraId="1DE0A21F" w14:textId="77777777">
            <w:pPr>
              <w:pStyle w:val="Bodytext2"/>
              <w:rPr>
                <w:lang w:val="en-GB"/>
              </w:rPr>
            </w:pPr>
          </w:p>
          <w:p w:rsidR="009D5A4F" w:rsidRPr="003331BF" w:rsidP="009D5A4F" w14:paraId="4DB85222" w14:textId="3A6021CE">
            <w:pPr>
              <w:pStyle w:val="Bodytext2"/>
              <w:rPr>
                <w:lang w:val="en-GB"/>
              </w:rPr>
            </w:pPr>
            <w:r w:rsidRPr="003331BF">
              <w:rPr>
                <w:lang w:val="en-GB"/>
              </w:rPr>
              <w:t xml:space="preserve">Depreciation is expensed on a straight-line basis over the estimated useful lives of </w:t>
            </w:r>
            <w:r w:rsidRPr="003331BF">
              <w:rPr>
                <w:lang w:val="en-GB"/>
              </w:rPr>
              <w:t xml:space="preserve">the assets. Land is not depreciated, as its useful life is considered as infinite. The estimated useful lives and the residual values are reviewed at least at the end of each </w:t>
            </w:r>
            <w:r>
              <w:rPr>
                <w:lang w:val="en-GB"/>
              </w:rPr>
              <w:t>reporting</w:t>
            </w:r>
            <w:r w:rsidRPr="003331BF">
              <w:rPr>
                <w:lang w:val="en-GB"/>
              </w:rPr>
              <w:t xml:space="preserve"> period, and if they differ significantly from previous estimates, </w:t>
            </w:r>
            <w:r w:rsidR="005E4FEF">
              <w:rPr>
                <w:lang w:val="en-GB"/>
              </w:rPr>
              <w:t xml:space="preserve">the </w:t>
            </w:r>
            <w:r w:rsidRPr="003331BF">
              <w:rPr>
                <w:lang w:val="en-GB"/>
              </w:rPr>
              <w:t>d</w:t>
            </w:r>
            <w:r w:rsidRPr="003331BF">
              <w:rPr>
                <w:lang w:val="en-GB"/>
              </w:rPr>
              <w:t xml:space="preserve">epreciation periods are adjusted accordingly. Depreciation of property, plant and equipment is </w:t>
            </w:r>
            <w:r w:rsidR="005E4FEF">
              <w:rPr>
                <w:lang w:val="en-GB"/>
              </w:rPr>
              <w:t>discontinue</w:t>
            </w:r>
            <w:r w:rsidRPr="003331BF">
              <w:rPr>
                <w:lang w:val="en-GB"/>
              </w:rPr>
              <w:t>d when an item is classified as held for sale.</w:t>
            </w:r>
          </w:p>
          <w:p w:rsidR="009D5A4F" w:rsidRPr="003331BF" w:rsidP="009D5A4F" w14:paraId="3333B825" w14:textId="77777777">
            <w:pPr>
              <w:pStyle w:val="Bodytext2"/>
              <w:rPr>
                <w:lang w:val="en-GB"/>
              </w:rPr>
            </w:pPr>
          </w:p>
          <w:p w:rsidR="009D5A4F" w:rsidRPr="003331BF" w:rsidP="009D5A4F" w14:paraId="622C3C74" w14:textId="6CF23469">
            <w:pPr>
              <w:pStyle w:val="Bodytext2"/>
              <w:rPr>
                <w:lang w:val="en-GB"/>
              </w:rPr>
            </w:pPr>
            <w:r w:rsidRPr="003331BF">
              <w:rPr>
                <w:lang w:val="en-GB"/>
              </w:rPr>
              <w:t xml:space="preserve">A gain or loss arising from the sale of property, plant and equipment is recognised </w:t>
            </w:r>
            <w:r>
              <w:rPr>
                <w:lang w:val="en-GB"/>
              </w:rPr>
              <w:t>as</w:t>
            </w:r>
            <w:r w:rsidRPr="003331BF">
              <w:rPr>
                <w:lang w:val="en-GB"/>
              </w:rPr>
              <w:t xml:space="preserve"> other operating</w:t>
            </w:r>
            <w:r w:rsidRPr="003331BF">
              <w:rPr>
                <w:lang w:val="en-GB"/>
              </w:rPr>
              <w:t xml:space="preserve"> income or other operating expenses in the statement of income.</w:t>
            </w:r>
          </w:p>
          <w:p w:rsidR="009D5A4F" w:rsidRPr="003331BF" w:rsidP="009D5A4F" w14:paraId="56182640" w14:textId="77777777">
            <w:pPr>
              <w:pStyle w:val="Bodytext2"/>
              <w:rPr>
                <w:lang w:val="en-GB"/>
              </w:rPr>
            </w:pPr>
          </w:p>
          <w:p w:rsidR="009D5A4F" w:rsidRPr="003331BF" w:rsidP="009D5A4F" w14:paraId="7780459B" w14:textId="77777777">
            <w:pPr>
              <w:pStyle w:val="Heading13"/>
              <w:rPr>
                <w:lang w:val="en-GB"/>
              </w:rPr>
            </w:pPr>
            <w:r w:rsidRPr="003331BF">
              <w:rPr>
                <w:lang w:val="en-GB"/>
              </w:rPr>
              <w:t>Impairment of assets</w:t>
            </w:r>
          </w:p>
          <w:p w:rsidR="009D5A4F" w:rsidRPr="003331BF" w:rsidP="009D5A4F" w14:paraId="0EFB3BC7" w14:textId="6C8DBD69">
            <w:pPr>
              <w:pStyle w:val="Bodytext2"/>
              <w:rPr>
                <w:lang w:val="en-GB"/>
              </w:rPr>
            </w:pPr>
            <w:r w:rsidRPr="003331BF">
              <w:rPr>
                <w:lang w:val="en-GB"/>
              </w:rPr>
              <w:t>The carrying amounts of assets are reviewed annually for signs of possible impairment</w:t>
            </w:r>
            <w:r w:rsidR="005E4FEF">
              <w:rPr>
                <w:lang w:val="en-GB"/>
              </w:rPr>
              <w:t>,</w:t>
            </w:r>
            <w:r w:rsidRPr="003331BF">
              <w:rPr>
                <w:lang w:val="en-GB"/>
              </w:rPr>
              <w:t xml:space="preserve"> or more frequently should any indication of impairment arise. If any such indicatio</w:t>
            </w:r>
            <w:r w:rsidRPr="003331BF">
              <w:rPr>
                <w:lang w:val="en-GB"/>
              </w:rPr>
              <w:t>n exists, the recoverable amount of the asset is estimated and compared to the carrying amount of the asset. An impairment loss is reco</w:t>
            </w:r>
            <w:r>
              <w:rPr>
                <w:lang w:val="en-GB"/>
              </w:rPr>
              <w:t xml:space="preserve">gnised </w:t>
            </w:r>
            <w:r w:rsidRPr="003331BF">
              <w:rPr>
                <w:lang w:val="en-GB"/>
              </w:rPr>
              <w:t xml:space="preserve">when the carrying amount of an asset is greater than its recoverable amount. The recoverable amount is the higher </w:t>
            </w:r>
            <w:r w:rsidRPr="003331BF">
              <w:rPr>
                <w:lang w:val="en-GB"/>
              </w:rPr>
              <w:t>of an asset’s fair value less costs to sell and its value in use.</w:t>
            </w:r>
          </w:p>
          <w:p w:rsidR="009D5A4F" w:rsidRPr="003331BF" w:rsidP="009D5A4F" w14:paraId="57310D7E" w14:textId="77777777">
            <w:pPr>
              <w:pStyle w:val="Bodytext2"/>
              <w:rPr>
                <w:lang w:val="en-GB"/>
              </w:rPr>
            </w:pPr>
          </w:p>
          <w:p w:rsidR="00F80E99" w:rsidRPr="003331BF" w:rsidP="00F80E99" w14:paraId="0FDF9090" w14:textId="7116A655">
            <w:pPr>
              <w:pStyle w:val="Bodytext2"/>
              <w:rPr>
                <w:lang w:val="en-GB"/>
              </w:rPr>
            </w:pPr>
            <w:r w:rsidRPr="003331BF">
              <w:rPr>
                <w:lang w:val="en-GB"/>
              </w:rPr>
              <w:t xml:space="preserve">An impairment loss is recognised immediately </w:t>
            </w:r>
            <w:r w:rsidR="005E4FEF">
              <w:rPr>
                <w:lang w:val="en-GB"/>
              </w:rPr>
              <w:t>as</w:t>
            </w:r>
            <w:r w:rsidRPr="003331BF">
              <w:rPr>
                <w:lang w:val="en-GB"/>
              </w:rPr>
              <w:t xml:space="preserve"> </w:t>
            </w:r>
            <w:r>
              <w:rPr>
                <w:color w:val="0F172B"/>
                <w:szCs w:val="15"/>
                <w:lang w:val="en-GB"/>
              </w:rPr>
              <w:t xml:space="preserve">depreciation, </w:t>
            </w:r>
            <w:r>
              <w:rPr>
                <w:color w:val="0F172B"/>
                <w:szCs w:val="15"/>
                <w:lang w:val="en-GB"/>
              </w:rPr>
              <w:t>amortisation</w:t>
            </w:r>
            <w:r>
              <w:rPr>
                <w:color w:val="0F172B"/>
                <w:szCs w:val="15"/>
                <w:lang w:val="en-GB"/>
              </w:rPr>
              <w:t xml:space="preserve"> and impairment </w:t>
            </w:r>
            <w:r w:rsidRPr="003331BF">
              <w:rPr>
                <w:lang w:val="en-GB"/>
              </w:rPr>
              <w:t>in the statement of income. In connection with the recognition of the impairment loss, the useful l</w:t>
            </w:r>
            <w:r w:rsidRPr="003331BF">
              <w:rPr>
                <w:lang w:val="en-GB"/>
              </w:rPr>
              <w:t xml:space="preserve">ife of the depreciable asset is reassessed. An earlier impairment loss recognised for an asset is reversed if the estimates used to determine the recoverable amount change. However, </w:t>
            </w:r>
            <w:r w:rsidR="005E4FEF">
              <w:rPr>
                <w:lang w:val="en-GB"/>
              </w:rPr>
              <w:t xml:space="preserve">any </w:t>
            </w:r>
            <w:r w:rsidRPr="003331BF">
              <w:rPr>
                <w:lang w:val="en-GB"/>
              </w:rPr>
              <w:t>reversal of impairment shall not exceed the asset’s carrying amount le</w:t>
            </w:r>
            <w:r w:rsidRPr="003331BF">
              <w:rPr>
                <w:lang w:val="en-GB"/>
              </w:rPr>
              <w:t>ss impairment loss</w:t>
            </w:r>
            <w:r>
              <w:rPr>
                <w:lang w:val="en-GB"/>
              </w:rPr>
              <w:t>.</w:t>
            </w:r>
          </w:p>
        </w:tc>
      </w:tr>
    </w:tbl>
    <w:p w:rsidR="009D5A4F" w:rsidP="009D5A4F" w14:paraId="041A4E5D" w14:textId="6A76B410">
      <w:pPr>
        <w:pStyle w:val="Bodytext2"/>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00C86A23" w14:textId="77777777" w:rsidTr="005B059E">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5B059E" w:rsidRPr="009E3C51" w:rsidP="005B059E" w14:paraId="77D2BE62" w14:textId="77777777">
            <w:pPr>
              <w:pStyle w:val="Heading13"/>
              <w:rPr>
                <w:rFonts w:eastAsiaTheme="minorHAnsi" w:cstheme="minorBidi"/>
                <w:lang w:val="en-GB" w:eastAsia="en-US"/>
              </w:rPr>
            </w:pPr>
            <w:r w:rsidRPr="009E3C51">
              <w:rPr>
                <w:lang w:val="en-GB"/>
              </w:rPr>
              <w:t>Accounting estimates an</w:t>
            </w:r>
            <w:r>
              <w:rPr>
                <w:lang w:val="en-GB"/>
              </w:rPr>
              <w:t>d</w:t>
            </w:r>
            <w:r w:rsidRPr="009E3C51">
              <w:rPr>
                <w:lang w:val="en-GB"/>
              </w:rPr>
              <w:t xml:space="preserve"> judgement</w:t>
            </w:r>
            <w:r>
              <w:rPr>
                <w:lang w:val="en-GB"/>
              </w:rPr>
              <w:t>s</w:t>
            </w:r>
          </w:p>
          <w:p w:rsidR="005B059E" w:rsidP="005B059E" w14:paraId="21F2F5B2" w14:textId="6ADEB979">
            <w:pPr>
              <w:pStyle w:val="Bodytext2"/>
            </w:pPr>
            <w:r w:rsidRPr="009E3C51">
              <w:rPr>
                <w:lang w:val="en-GB"/>
              </w:rPr>
              <w:t xml:space="preserve">Assessing </w:t>
            </w:r>
            <w:r>
              <w:rPr>
                <w:lang w:val="en-GB"/>
              </w:rPr>
              <w:t xml:space="preserve">the </w:t>
            </w:r>
            <w:r w:rsidRPr="009E3C51">
              <w:rPr>
                <w:lang w:val="en-GB"/>
              </w:rPr>
              <w:t>probability of expected future economic benefits and useful lives of property, plant and equi</w:t>
            </w:r>
            <w:r>
              <w:rPr>
                <w:lang w:val="en-GB"/>
              </w:rPr>
              <w:t>p</w:t>
            </w:r>
            <w:r w:rsidRPr="009E3C51">
              <w:rPr>
                <w:lang w:val="en-GB"/>
              </w:rPr>
              <w:t xml:space="preserve">ment require management judgement. The estimated useful lives and residual values are reviewed at least at the end of each </w:t>
            </w:r>
            <w:r>
              <w:rPr>
                <w:lang w:val="en-GB"/>
              </w:rPr>
              <w:t>reporting</w:t>
            </w:r>
            <w:r w:rsidRPr="009E3C51">
              <w:rPr>
                <w:lang w:val="en-GB"/>
              </w:rPr>
              <w:t xml:space="preserve"> period, and if they differ significantly from previous estimates, </w:t>
            </w:r>
            <w:r>
              <w:rPr>
                <w:lang w:val="en-GB"/>
              </w:rPr>
              <w:t>the depreciation</w:t>
            </w:r>
            <w:r w:rsidRPr="009E3C51">
              <w:rPr>
                <w:lang w:val="en-GB"/>
              </w:rPr>
              <w:t xml:space="preserve"> periods are adjusted accordingly. Also</w:t>
            </w:r>
            <w:r>
              <w:rPr>
                <w:lang w:val="en-GB"/>
              </w:rPr>
              <w:t>,</w:t>
            </w:r>
            <w:r w:rsidRPr="009E3C51">
              <w:rPr>
                <w:lang w:val="en-GB"/>
              </w:rPr>
              <w:t xml:space="preserve"> assessing any indication of impairment requires management judgement.</w:t>
            </w:r>
          </w:p>
        </w:tc>
      </w:tr>
    </w:tbl>
    <w:p w:rsidR="005B059E" w:rsidRPr="009D5A4F" w:rsidP="009D5A4F" w14:paraId="44722809" w14:textId="77777777">
      <w:pPr>
        <w:pStyle w:val="Bodytext2"/>
      </w:pPr>
    </w:p>
    <w:p w:rsidR="009D5A4F" w:rsidRPr="009D5A4F" w:rsidP="003331BF" w14:paraId="003D064D" w14:textId="77777777">
      <w:pPr>
        <w:pStyle w:val="Heading13"/>
      </w:pPr>
      <w:r w:rsidRPr="009D5A4F">
        <w:t>2021</w:t>
      </w:r>
    </w:p>
    <w:p w:rsidR="009D5A4F" w:rsidRPr="009D5A4F" w:rsidP="009D5A4F" w14:paraId="40277A82" w14:textId="77777777">
      <w:pPr>
        <w:pStyle w:val="Bodytext2"/>
      </w:pPr>
    </w:p>
    <w:tbl>
      <w:tblPr>
        <w:tblStyle w:val="TableNormal"/>
        <w:tblCaption w:val="table_ppe_current"/>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Land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and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water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Build-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ings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and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struc-</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tures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Machin-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ery and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equip-</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ment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Construc-</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tion in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progress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and ad-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vances paid</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Other</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tangible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assets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Cost on 1 January 2021</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25</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270</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782</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32</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1,135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exchange rates</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nil"/>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Additions</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57</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Decreases</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Reclassifications</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Cost on 31 December 2021</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270</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796</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77</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29</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1,197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Accumulated depreciation and impairment on 1 January 2021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-654</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nil"/>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exchange rates</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Accumulated depreciation on decreases and disposals</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Depreciation during the financial period</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Impairments</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Reclassifications</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Accumulated depreciation and impairment on 31 December 2021</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-184</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-675</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-884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Carrying amount on 31 December 2021</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86</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121</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77</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312</w:t>
            </w:r>
          </w:p>
        </w:tc>
      </w:tr>
    </w:tbl>
    <w:p w:rsidR="009D5A4F" w:rsidRPr="009D5A4F" w:rsidP="009D5A4F" w14:paraId="4E320393" w14:textId="77777777">
      <w:pPr>
        <w:pStyle w:val="Bodytext2"/>
      </w:pPr>
    </w:p>
    <w:p w:rsidR="009D5A4F" w:rsidRPr="009D5A4F" w:rsidP="003331BF" w14:paraId="6FC00CC5" w14:textId="77777777">
      <w:pPr>
        <w:pStyle w:val="Heading13"/>
      </w:pPr>
      <w:r w:rsidRPr="009D5A4F">
        <w:t>2020</w:t>
      </w:r>
    </w:p>
    <w:p w:rsidR="009D5A4F" w:rsidRPr="009D5A4F" w:rsidP="009D5A4F" w14:paraId="35B6D0C3" w14:textId="77777777">
      <w:pPr>
        <w:pStyle w:val="Bodytext2"/>
      </w:pPr>
    </w:p>
    <w:tbl>
      <w:tblPr>
        <w:tblStyle w:val="TableNormal"/>
        <w:tblCaption w:val="table_ppe_previous"/>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Land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and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water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Build-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ings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and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struc-</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tures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Machin-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ery and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equip-</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ment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Construc-</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tion in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progress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and ad-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vances paid</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Other</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tangible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assets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Cost on 1 January 2020</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283</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798</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1,167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exchange rates</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Acquisitions and disposals</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Additions</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Decreases</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Reclassifications</w:t>
            </w: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Cost on 31 December 2020</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270</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782</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1,135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Accumulated depreciation and impairment on 1 January 2020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-179</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-659</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-860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exchange rates</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Accumulated depreciation on decreases and disposals</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Depreciation during the financial period</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Impairments</w:t>
            </w: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Accumulated depreciation and impairment on 31 December 2020</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-176</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-654</w:t>
            </w: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-853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Carrying amount on 31 December 2020</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93</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128</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282</w:t>
            </w:r>
          </w:p>
        </w:tc>
      </w:tr>
    </w:tbl>
    <w:p/>
    <w:p w:rsidR="0058370B" w:rsidP="0058370B" w14:paraId="3A465F77" w14:textId="77777777">
      <w:pPr>
        <w:pStyle w:val="Heading12"/>
      </w:pPr>
      <w:bookmarkStart w:id="1470" w:name="RG_MARKER_7337"/>
      <w:r>
        <w:t>3.4. LEASES</w:t>
      </w:r>
      <w:bookmarkEnd w:id="1470"/>
    </w:p>
    <w:tbl>
      <w:tblPr>
        <w:tblStyle w:val="TableGrid"/>
        <w:tblW w:w="7371" w:type="dxa"/>
        <w:tblLook w:val="04A0"/>
      </w:tblPr>
      <w:tblGrid>
        <w:gridCol w:w="7371"/>
      </w:tblGrid>
      <w:tr w14:paraId="63264BD7" w14:textId="77777777" w:rsidTr="0058370B">
        <w:tblPrEx>
          <w:tblW w:w="7371" w:type="dxa"/>
          <w:tblLook w:val="04A0"/>
        </w:tblPrEx>
        <w:tc>
          <w:tcPr>
            <w:tcW w:w="7371" w:type="dxa"/>
            <w:tcBorders>
              <w:top w:val="nil"/>
              <w:left w:val="nil"/>
              <w:bottom w:val="nil"/>
              <w:right w:val="nil"/>
            </w:tcBorders>
            <w:shd w:val="clear" w:color="auto" w:fill="B6C8D1"/>
          </w:tcPr>
          <w:p w:rsidR="0058370B" w:rsidRPr="000646C2" w:rsidP="0058370B" w14:paraId="38C931EC" w14:textId="77777777">
            <w:pPr>
              <w:pStyle w:val="Heading13"/>
              <w:rPr>
                <w:lang w:val="en-GB"/>
              </w:rPr>
            </w:pPr>
            <w:r w:rsidRPr="000646C2">
              <w:rPr>
                <w:lang w:val="en-GB"/>
              </w:rPr>
              <w:t>Accounting principles</w:t>
            </w:r>
          </w:p>
          <w:p w:rsidR="0058370B" w:rsidRPr="000646C2" w:rsidP="0058370B" w14:paraId="198CEE79" w14:textId="0251DAEC">
            <w:pPr>
              <w:pStyle w:val="Bodytext2"/>
              <w:rPr>
                <w:lang w:val="en-GB"/>
              </w:rPr>
            </w:pPr>
            <w:r w:rsidRPr="000646C2">
              <w:rPr>
                <w:lang w:val="en-GB"/>
              </w:rPr>
              <w:t xml:space="preserve">The Group's capitalised lease agreements consist mainly of </w:t>
            </w:r>
            <w:r w:rsidRPr="008633F0">
              <w:rPr>
                <w:lang w:val="en-GB"/>
              </w:rPr>
              <w:t>land</w:t>
            </w:r>
            <w:r w:rsidRPr="008633F0" w:rsidR="00C32B58">
              <w:rPr>
                <w:lang w:val="en-GB"/>
              </w:rPr>
              <w:t>,</w:t>
            </w:r>
            <w:r w:rsidRPr="008633F0">
              <w:rPr>
                <w:lang w:val="en-GB"/>
              </w:rPr>
              <w:t xml:space="preserve"> buildings used as office premises, factories</w:t>
            </w:r>
            <w:r w:rsidRPr="008633F0" w:rsidR="00C32B58">
              <w:rPr>
                <w:lang w:val="en-GB"/>
              </w:rPr>
              <w:t xml:space="preserve">, </w:t>
            </w:r>
            <w:r w:rsidRPr="008633F0">
              <w:rPr>
                <w:lang w:val="en-GB"/>
              </w:rPr>
              <w:t>workshops</w:t>
            </w:r>
            <w:r w:rsidRPr="008633F0" w:rsidR="00C32B58">
              <w:rPr>
                <w:lang w:val="en-GB"/>
              </w:rPr>
              <w:t xml:space="preserve">, </w:t>
            </w:r>
            <w:r w:rsidRPr="008633F0">
              <w:rPr>
                <w:lang w:val="en-GB"/>
              </w:rPr>
              <w:t xml:space="preserve">vehicles, </w:t>
            </w:r>
            <w:r w:rsidRPr="00C32B58">
              <w:rPr>
                <w:lang w:val="en-GB"/>
              </w:rPr>
              <w:t>and</w:t>
            </w:r>
            <w:r w:rsidRPr="000646C2">
              <w:rPr>
                <w:lang w:val="en-GB"/>
              </w:rPr>
              <w:t xml:space="preserve"> production machinery and equipment. The average lease period for buildings is approximately eight years, and for machinery and equipment approximately four years. The Group recognises a right-of-use (ROU) asset and a lease liability at the commencement of</w:t>
            </w:r>
            <w:r w:rsidRPr="000646C2">
              <w:rPr>
                <w:lang w:val="en-GB"/>
              </w:rPr>
              <w:t xml:space="preserve"> the lease. Whether a contract contains a lease is determined based on whether Wärtsilä has the right to control the use of an identified asset for a period of time.</w:t>
            </w:r>
          </w:p>
          <w:p w:rsidR="0058370B" w:rsidRPr="000646C2" w:rsidP="0058370B" w14:paraId="4EA5533A" w14:textId="77777777">
            <w:pPr>
              <w:pStyle w:val="Bodytext2"/>
              <w:rPr>
                <w:lang w:val="en-GB"/>
              </w:rPr>
            </w:pPr>
          </w:p>
          <w:p w:rsidR="0058370B" w:rsidRPr="000646C2" w:rsidP="0058370B" w14:paraId="3776A58C" w14:textId="77710175">
            <w:pPr>
              <w:pStyle w:val="Bodytext2"/>
              <w:rPr>
                <w:lang w:val="en-GB"/>
              </w:rPr>
            </w:pPr>
            <w:r w:rsidRPr="000646C2">
              <w:rPr>
                <w:lang w:val="en-GB"/>
              </w:rPr>
              <w:t>At the commencement date, a right-of-use asset as defined by IFRS 16 is measured at cost.</w:t>
            </w:r>
            <w:r w:rsidRPr="000646C2">
              <w:rPr>
                <w:lang w:val="en-GB"/>
              </w:rPr>
              <w:t xml:space="preserve"> The cost of the right-of-use asset shall comprise the amount of the initial measurement of the lease liability, any lease payments made at or before the commencement date (less any lease incentives received), any initial direct costs incurred by the lesse</w:t>
            </w:r>
            <w:r w:rsidRPr="000646C2">
              <w:rPr>
                <w:lang w:val="en-GB"/>
              </w:rPr>
              <w:t>e and an estimate of costs to be incurred by the lessee in dismantling and removing the underlying asset, restoring the site on which it is located or restoring the underlying asset to the condition required by the terms and conditions of the lease, unless</w:t>
            </w:r>
            <w:r w:rsidRPr="000646C2">
              <w:rPr>
                <w:lang w:val="en-GB"/>
              </w:rPr>
              <w:t xml:space="preserve"> those costs are incurred to produce inventories.</w:t>
            </w:r>
          </w:p>
          <w:p w:rsidR="0058370B" w:rsidRPr="000646C2" w:rsidP="0058370B" w14:paraId="5DB9BEA7" w14:textId="77777777">
            <w:pPr>
              <w:pStyle w:val="Bodytext2"/>
              <w:rPr>
                <w:lang w:val="en-GB"/>
              </w:rPr>
            </w:pPr>
          </w:p>
          <w:p w:rsidR="0058370B" w:rsidRPr="000646C2" w:rsidP="0058370B" w14:paraId="39D401DB" w14:textId="4F5A5F75">
            <w:pPr>
              <w:pStyle w:val="Bodytext2"/>
              <w:rPr>
                <w:lang w:val="en-GB"/>
              </w:rPr>
            </w:pPr>
            <w:r w:rsidRPr="000646C2">
              <w:rPr>
                <w:lang w:val="en-GB"/>
              </w:rPr>
              <w:t>The nominal lease liability is initially measured at the present value of the lease payments over the lease term. The lease payments include fixed payments, amounts to be expected to be paid under residual</w:t>
            </w:r>
            <w:r w:rsidRPr="000646C2">
              <w:rPr>
                <w:lang w:val="en-GB"/>
              </w:rPr>
              <w:t xml:space="preserve"> value guarantees, the exercise price of reasonably certain extension options, and payments of penalties for terminating a lease in case this reflects the lease term. The lease payments are discounted using the interest rate implicit in the lease</w:t>
            </w:r>
            <w:r w:rsidRPr="000646C2">
              <w:rPr>
                <w:lang w:val="en-GB"/>
              </w:rPr>
              <w:t xml:space="preserve"> if this </w:t>
            </w:r>
            <w:r w:rsidRPr="000646C2">
              <w:rPr>
                <w:lang w:val="en-GB"/>
              </w:rPr>
              <w:t>rate can be readily determined. Otherwise</w:t>
            </w:r>
            <w:r>
              <w:rPr>
                <w:lang w:val="en-GB"/>
              </w:rPr>
              <w:t>,</w:t>
            </w:r>
            <w:r w:rsidRPr="000646C2">
              <w:rPr>
                <w:lang w:val="en-GB"/>
              </w:rPr>
              <w:t xml:space="preserve"> the lessee´s incremental borrowing rate is used. The incremental borrowing rates used are the sum of relevant interbank rates and </w:t>
            </w:r>
            <w:r>
              <w:rPr>
                <w:lang w:val="en-GB"/>
              </w:rPr>
              <w:t xml:space="preserve">the </w:t>
            </w:r>
            <w:r w:rsidRPr="000646C2">
              <w:rPr>
                <w:lang w:val="en-GB"/>
              </w:rPr>
              <w:t xml:space="preserve">average margin of </w:t>
            </w:r>
            <w:r>
              <w:rPr>
                <w:lang w:val="en-GB"/>
              </w:rPr>
              <w:t xml:space="preserve">the </w:t>
            </w:r>
            <w:r w:rsidR="00DE5F5C">
              <w:rPr>
                <w:lang w:val="en-GB"/>
              </w:rPr>
              <w:t>G</w:t>
            </w:r>
            <w:r w:rsidRPr="000646C2">
              <w:rPr>
                <w:lang w:val="en-GB"/>
              </w:rPr>
              <w:t>roup loan portfolio</w:t>
            </w:r>
            <w:r>
              <w:rPr>
                <w:lang w:val="en-GB"/>
              </w:rPr>
              <w:t xml:space="preserve"> </w:t>
            </w:r>
            <w:r w:rsidRPr="000646C2">
              <w:rPr>
                <w:lang w:val="en-GB"/>
              </w:rPr>
              <w:t>and</w:t>
            </w:r>
            <w:r w:rsidR="000F74F1">
              <w:rPr>
                <w:lang w:val="en-GB"/>
              </w:rPr>
              <w:t xml:space="preserve"> </w:t>
            </w:r>
            <w:r w:rsidRPr="000646C2">
              <w:rPr>
                <w:lang w:val="en-GB"/>
              </w:rPr>
              <w:t>are currency specific.</w:t>
            </w:r>
          </w:p>
          <w:p w:rsidR="0058370B" w:rsidRPr="000646C2" w:rsidP="0058370B" w14:paraId="15580BB3" w14:textId="77777777">
            <w:pPr>
              <w:pStyle w:val="Bodytext2"/>
              <w:rPr>
                <w:lang w:val="en-GB"/>
              </w:rPr>
            </w:pPr>
          </w:p>
          <w:p w:rsidR="0058370B" w:rsidRPr="000646C2" w:rsidP="0058370B" w14:paraId="6DC57D09" w14:textId="5EE8647F">
            <w:pPr>
              <w:pStyle w:val="Bodytext2"/>
              <w:rPr>
                <w:lang w:val="en-GB"/>
              </w:rPr>
            </w:pPr>
            <w:r w:rsidRPr="000646C2">
              <w:rPr>
                <w:lang w:val="en-GB"/>
              </w:rPr>
              <w:t>The init</w:t>
            </w:r>
            <w:r w:rsidRPr="000646C2">
              <w:rPr>
                <w:lang w:val="en-GB"/>
              </w:rPr>
              <w:t>ial measurement of the lease payments does not include possible variable elements. Variable lease payments not included in the initial measurement of the lease liability are recognised directly in the statement of income</w:t>
            </w:r>
            <w:r>
              <w:rPr>
                <w:lang w:val="en-GB"/>
              </w:rPr>
              <w:t xml:space="preserve"> as other operating expenses</w:t>
            </w:r>
            <w:r w:rsidRPr="000646C2">
              <w:rPr>
                <w:lang w:val="en-GB"/>
              </w:rPr>
              <w:t>.</w:t>
            </w:r>
          </w:p>
          <w:p w:rsidR="0058370B" w:rsidRPr="000646C2" w:rsidP="0058370B" w14:paraId="4C5AA626" w14:textId="77777777">
            <w:pPr>
              <w:pStyle w:val="Bodytext2"/>
              <w:rPr>
                <w:lang w:val="en-GB"/>
              </w:rPr>
            </w:pPr>
          </w:p>
          <w:p w:rsidR="0058370B" w:rsidRPr="000646C2" w:rsidP="0058370B" w14:paraId="4CA4DE97" w14:textId="02F3CA76">
            <w:pPr>
              <w:pStyle w:val="Bodytext2"/>
              <w:rPr>
                <w:lang w:val="en-GB"/>
              </w:rPr>
            </w:pPr>
            <w:r w:rsidRPr="00770E27">
              <w:rPr>
                <w:lang w:val="en-GB"/>
              </w:rPr>
              <w:t>The l</w:t>
            </w:r>
            <w:r w:rsidRPr="00770E27">
              <w:rPr>
                <w:lang w:val="en-GB"/>
              </w:rPr>
              <w:t xml:space="preserve">ease term is the non-cancellable period of the lease </w:t>
            </w:r>
            <w:r w:rsidRPr="00B30038">
              <w:rPr>
                <w:lang w:val="en-GB"/>
              </w:rPr>
              <w:t>together with</w:t>
            </w:r>
            <w:r>
              <w:rPr>
                <w:lang w:val="en-GB"/>
              </w:rPr>
              <w:t xml:space="preserve"> the</w:t>
            </w:r>
            <w:r w:rsidRPr="00770E27">
              <w:rPr>
                <w:lang w:val="en-GB"/>
              </w:rPr>
              <w:t xml:space="preserve"> period covered by an option to extend or</w:t>
            </w:r>
            <w:r>
              <w:rPr>
                <w:lang w:val="en-GB"/>
              </w:rPr>
              <w:t xml:space="preserve"> </w:t>
            </w:r>
            <w:r w:rsidRPr="00770E27">
              <w:rPr>
                <w:lang w:val="en-GB"/>
              </w:rPr>
              <w:t>terminate if the lessee is reasonably certain to exercise the option.</w:t>
            </w:r>
          </w:p>
          <w:p w:rsidR="0058370B" w:rsidRPr="000646C2" w:rsidP="0058370B" w14:paraId="6BFC1813" w14:textId="77777777">
            <w:pPr>
              <w:pStyle w:val="Bodytext2"/>
              <w:rPr>
                <w:lang w:val="en-GB"/>
              </w:rPr>
            </w:pPr>
          </w:p>
          <w:p w:rsidR="0058370B" w:rsidRPr="000646C2" w:rsidP="0058370B" w14:paraId="41348D35" w14:textId="2819E6EE">
            <w:pPr>
              <w:pStyle w:val="Bodytext2"/>
              <w:rPr>
                <w:lang w:val="en-GB"/>
              </w:rPr>
            </w:pPr>
            <w:r w:rsidRPr="000646C2">
              <w:rPr>
                <w:lang w:val="en-GB"/>
              </w:rPr>
              <w:t>Subsequently, the right-of-use assets are measured at initial measurement</w:t>
            </w:r>
            <w:r w:rsidRPr="000646C2">
              <w:rPr>
                <w:lang w:val="en-GB"/>
              </w:rPr>
              <w:t xml:space="preserve"> less accumulated depreciation and impairment losses. The right-of-use assets are depreciated and interest on lease liabilities recognised </w:t>
            </w:r>
            <w:r>
              <w:rPr>
                <w:lang w:val="en-GB"/>
              </w:rPr>
              <w:t xml:space="preserve">in interest expenses </w:t>
            </w:r>
            <w:r w:rsidRPr="000646C2">
              <w:rPr>
                <w:lang w:val="en-GB"/>
              </w:rPr>
              <w:t xml:space="preserve">in the statement of income over the lease term. The lease liabilities are subsequently measured </w:t>
            </w:r>
            <w:r w:rsidRPr="000646C2">
              <w:rPr>
                <w:lang w:val="en-GB"/>
              </w:rPr>
              <w:t>at initial recognition less occurring lease payments that are allocated to the principal.</w:t>
            </w:r>
          </w:p>
          <w:p w:rsidR="0058370B" w:rsidRPr="000646C2" w:rsidP="0058370B" w14:paraId="181A1148" w14:textId="77777777">
            <w:pPr>
              <w:pStyle w:val="Bodytext2"/>
              <w:rPr>
                <w:lang w:val="en-GB"/>
              </w:rPr>
            </w:pPr>
          </w:p>
          <w:p w:rsidR="0058370B" w:rsidRPr="000646C2" w:rsidP="0058370B" w14:paraId="3B15C7A1" w14:textId="0B1D5A8A">
            <w:pPr>
              <w:pStyle w:val="Bodytext2"/>
              <w:rPr>
                <w:lang w:val="en-GB"/>
              </w:rPr>
            </w:pPr>
            <w:r w:rsidRPr="000646C2">
              <w:rPr>
                <w:lang w:val="en-GB"/>
              </w:rPr>
              <w:t>Lease payments are presented as repayments of liabilities and related interest expenses. The lease payments are presented in the cash flow from financing activities</w:t>
            </w:r>
            <w:r>
              <w:rPr>
                <w:lang w:val="en-GB"/>
              </w:rPr>
              <w:t>,</w:t>
            </w:r>
            <w:r w:rsidRPr="000646C2">
              <w:rPr>
                <w:lang w:val="en-GB"/>
              </w:rPr>
              <w:t xml:space="preserve"> and the interest related to leases are presented in the cash flow from operating activities. Lease payments related to short-term leases, low-value assets</w:t>
            </w:r>
            <w:r>
              <w:rPr>
                <w:lang w:val="en-GB"/>
              </w:rPr>
              <w:t>,</w:t>
            </w:r>
            <w:r w:rsidRPr="000646C2">
              <w:rPr>
                <w:lang w:val="en-GB"/>
              </w:rPr>
              <w:t xml:space="preserve"> and variable payments are presented in the cash flow from operating activities.</w:t>
            </w:r>
          </w:p>
          <w:p w:rsidR="0058370B" w:rsidRPr="000646C2" w:rsidP="0058370B" w14:paraId="4D984879" w14:textId="77777777">
            <w:pPr>
              <w:pStyle w:val="Bodytext2"/>
              <w:rPr>
                <w:lang w:val="en-GB"/>
              </w:rPr>
            </w:pPr>
          </w:p>
          <w:p w:rsidR="0058370B" w:rsidRPr="000646C2" w:rsidP="0058370B" w14:paraId="662133C1" w14:textId="77777777">
            <w:pPr>
              <w:pStyle w:val="Bodytext2"/>
              <w:rPr>
                <w:lang w:val="en-GB"/>
              </w:rPr>
            </w:pPr>
            <w:r w:rsidRPr="000646C2">
              <w:rPr>
                <w:lang w:val="en-GB"/>
              </w:rPr>
              <w:t>Contracts may comb</w:t>
            </w:r>
            <w:r w:rsidRPr="000646C2">
              <w:rPr>
                <w:lang w:val="en-GB"/>
              </w:rPr>
              <w:t>ine different kinds of obligations to the supplier, which might be a combination of lease components or a combination of lease and non-lease components. These lease and non-lease components are accounted for separately and the consideration is allocated be</w:t>
            </w:r>
            <w:r w:rsidRPr="000646C2">
              <w:rPr>
                <w:lang w:val="en-GB"/>
              </w:rPr>
              <w:t>tween the components based on relative stand-alone selling prices.</w:t>
            </w:r>
          </w:p>
          <w:p w:rsidR="0058370B" w:rsidRPr="000646C2" w:rsidP="0058370B" w14:paraId="22CB5F3D" w14:textId="77777777">
            <w:pPr>
              <w:pStyle w:val="Bodytext2"/>
              <w:rPr>
                <w:lang w:val="en-GB"/>
              </w:rPr>
            </w:pPr>
          </w:p>
          <w:p w:rsidR="0058370B" w:rsidRPr="00770E27" w:rsidP="0058370B" w14:paraId="6F115EC1" w14:textId="19987257">
            <w:pPr>
              <w:pStyle w:val="Bodytext2"/>
              <w:rPr>
                <w:lang w:val="en-GB"/>
              </w:rPr>
            </w:pPr>
            <w:r w:rsidRPr="00770E27">
              <w:rPr>
                <w:lang w:val="en-GB"/>
              </w:rPr>
              <w:t xml:space="preserve">The lease and non-lease components are separated. </w:t>
            </w:r>
            <w:r>
              <w:rPr>
                <w:lang w:val="en-GB"/>
              </w:rPr>
              <w:t>Should</w:t>
            </w:r>
            <w:r w:rsidRPr="00770E27">
              <w:rPr>
                <w:lang w:val="en-GB"/>
              </w:rPr>
              <w:t xml:space="preserve"> separating the components</w:t>
            </w:r>
            <w:r>
              <w:rPr>
                <w:lang w:val="en-GB"/>
              </w:rPr>
              <w:t xml:space="preserve"> not be</w:t>
            </w:r>
            <w:r w:rsidRPr="00770E27">
              <w:rPr>
                <w:lang w:val="en-GB"/>
              </w:rPr>
              <w:t xml:space="preserve"> possible, judgement is used to allocate the non-lease component in the accounting. The selection o</w:t>
            </w:r>
            <w:r w:rsidRPr="00770E27">
              <w:rPr>
                <w:lang w:val="en-GB"/>
              </w:rPr>
              <w:t>f separating the non-lease component</w:t>
            </w:r>
            <w:r>
              <w:rPr>
                <w:lang w:val="en-GB"/>
              </w:rPr>
              <w:t xml:space="preserve"> or not</w:t>
            </w:r>
            <w:r w:rsidRPr="00770E27">
              <w:rPr>
                <w:lang w:val="en-GB"/>
              </w:rPr>
              <w:t xml:space="preserve"> from </w:t>
            </w:r>
            <w:r>
              <w:rPr>
                <w:lang w:val="en-GB"/>
              </w:rPr>
              <w:t xml:space="preserve">the </w:t>
            </w:r>
            <w:r w:rsidRPr="00770E27">
              <w:rPr>
                <w:lang w:val="en-GB"/>
              </w:rPr>
              <w:t>lease</w:t>
            </w:r>
            <w:r>
              <w:rPr>
                <w:lang w:val="en-GB"/>
              </w:rPr>
              <w:t>,</w:t>
            </w:r>
            <w:r w:rsidRPr="00770E27">
              <w:rPr>
                <w:lang w:val="en-GB"/>
              </w:rPr>
              <w:t xml:space="preserve"> is applied to the whole asset class, buildings</w:t>
            </w:r>
            <w:r>
              <w:rPr>
                <w:lang w:val="en-GB"/>
              </w:rPr>
              <w:t>,</w:t>
            </w:r>
            <w:r w:rsidRPr="00770E27">
              <w:rPr>
                <w:lang w:val="en-GB"/>
              </w:rPr>
              <w:t xml:space="preserve"> and machinery and equipment.</w:t>
            </w:r>
          </w:p>
          <w:p w:rsidR="0058370B" w:rsidRPr="00770E27" w:rsidP="0058370B" w14:paraId="086D09C7" w14:textId="77777777">
            <w:pPr>
              <w:pStyle w:val="Bodytext2"/>
              <w:rPr>
                <w:lang w:val="en-GB"/>
              </w:rPr>
            </w:pPr>
          </w:p>
          <w:p w:rsidR="0058370B" w:rsidRPr="00770E27" w:rsidP="0058370B" w14:paraId="5A1CCDEA" w14:textId="1570B5CE">
            <w:pPr>
              <w:pStyle w:val="Bodytext2"/>
              <w:rPr>
                <w:lang w:val="en-GB"/>
              </w:rPr>
            </w:pPr>
            <w:r w:rsidRPr="00770E27">
              <w:rPr>
                <w:lang w:val="en-GB"/>
              </w:rPr>
              <w:t xml:space="preserve">Modifications to lease agreements may result in adjustments to existing right-of-use assets and lease liabilities. A gain or loss arising from a modification </w:t>
            </w:r>
            <w:r>
              <w:rPr>
                <w:lang w:val="en-GB"/>
              </w:rPr>
              <w:t>or</w:t>
            </w:r>
            <w:r w:rsidRPr="00770E27">
              <w:rPr>
                <w:lang w:val="en-GB"/>
              </w:rPr>
              <w:t xml:space="preserve"> a termination of a lease agreement is recognised </w:t>
            </w:r>
            <w:r>
              <w:rPr>
                <w:lang w:val="en-GB"/>
              </w:rPr>
              <w:t>as</w:t>
            </w:r>
            <w:r w:rsidRPr="00770E27">
              <w:rPr>
                <w:lang w:val="en-GB"/>
              </w:rPr>
              <w:t xml:space="preserve"> other operating income or other operating e</w:t>
            </w:r>
            <w:r w:rsidRPr="00770E27">
              <w:rPr>
                <w:lang w:val="en-GB"/>
              </w:rPr>
              <w:t>xpenses in the statement of income.</w:t>
            </w:r>
          </w:p>
          <w:p w:rsidR="0058370B" w:rsidRPr="00770E27" w:rsidP="0058370B" w14:paraId="1E1473CF" w14:textId="77777777">
            <w:pPr>
              <w:pStyle w:val="Bodytext2"/>
              <w:rPr>
                <w:lang w:val="en-GB"/>
              </w:rPr>
            </w:pPr>
          </w:p>
          <w:p w:rsidR="0058370B" w:rsidRPr="000646C2" w:rsidP="00CA7E84" w14:paraId="26995388" w14:textId="6124CAB3">
            <w:pPr>
              <w:pStyle w:val="Bodytext2"/>
              <w:rPr>
                <w:lang w:val="en-GB"/>
              </w:rPr>
            </w:pPr>
            <w:r w:rsidRPr="00770E27">
              <w:rPr>
                <w:lang w:val="en-GB"/>
              </w:rPr>
              <w:t>The Group applies the two available exemptions, which relate to either short-term contracts, in which the lease term is less than 12 months, or low-value assets, which are expensed to other operating expenses.</w:t>
            </w:r>
          </w:p>
        </w:tc>
      </w:tr>
    </w:tbl>
    <w:p w:rsidR="0058370B" w:rsidRPr="00CA7E84" w:rsidP="00CA7E84" w14:paraId="4F38633A" w14:textId="16904A56">
      <w:pPr>
        <w:pStyle w:val="Bodytext2"/>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5CE6D8E0" w14:textId="77777777" w:rsidTr="00CA7E84">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CA7E84" w:rsidRPr="00770E27" w:rsidP="00CA7E84" w14:paraId="082E00CB" w14:textId="77777777">
            <w:pPr>
              <w:pStyle w:val="Heading13"/>
              <w:rPr>
                <w:lang w:val="en-GB"/>
              </w:rPr>
            </w:pPr>
            <w:r w:rsidRPr="00770E27">
              <w:rPr>
                <w:lang w:val="en-GB"/>
              </w:rPr>
              <w:t>Accounting estimates and judgements</w:t>
            </w:r>
          </w:p>
          <w:p w:rsidR="00CA7E84" w:rsidRPr="00CA7E84" w:rsidP="00CA7E84" w14:paraId="0C24052A" w14:textId="44D903F6">
            <w:pPr>
              <w:pStyle w:val="Bodytext2"/>
              <w:rPr>
                <w:b/>
                <w:bCs/>
                <w:color w:val="0F172B"/>
                <w:szCs w:val="15"/>
                <w:lang w:val="en-GB"/>
              </w:rPr>
            </w:pPr>
            <w:r w:rsidRPr="00751543">
              <w:rPr>
                <w:lang w:val="en-GB"/>
              </w:rPr>
              <w:t>Management is required to consider the duration of the lease term if there is an option for extension, early termination or purchase, as well as determine the lease term for agreements with indefinite lease term. When ev</w:t>
            </w:r>
            <w:r w:rsidRPr="00751543">
              <w:rPr>
                <w:lang w:val="en-GB"/>
              </w:rPr>
              <w:t>aluating the probability of the option being exercised and, therefore, the duration of the lease term, management considers all known facts and circumstances, for example, businesses’ short- and long-term strategies that create a financial incentive to exe</w:t>
            </w:r>
            <w:r w:rsidRPr="00751543">
              <w:rPr>
                <w:lang w:val="en-GB"/>
              </w:rPr>
              <w:t>rcise, or not to exercise the option.</w:t>
            </w:r>
          </w:p>
        </w:tc>
      </w:tr>
    </w:tbl>
    <w:p w:rsidR="00CA7E84" w:rsidRPr="00CA7E84" w:rsidP="00CA7E84" w14:paraId="0564DCFF" w14:textId="77777777">
      <w:pPr>
        <w:pStyle w:val="Bodytext2"/>
      </w:pPr>
    </w:p>
    <w:tbl>
      <w:tblPr>
        <w:tblStyle w:val="TableNormal"/>
        <w:tblCaption w:val="table_leases"/>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Land and buildings, right-of-use assets</w:t>
            </w: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Carrying amount on 1 January</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exchange rates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Acquisitions and disposals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Additions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75</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Depreciation and impairment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Decreases and reclassifications</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Carrying amount on 31 December</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181</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Machinery and equipment, right-of-use assets</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Carrying amount on 1 January</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Additions</w:t>
            </w:r>
          </w:p>
        </w:tc>
        <w:tc>
          <w:tcPr>
            <w:tcW w:w="12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2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Depreciation and impairment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Decreases and reclassifications</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Carrying amount on 31 December</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Lease liabilities</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Carrying amount on 1 January</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166</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exchange rates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Acquisitions and disposals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Additions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82</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Payments</w:t>
            </w:r>
          </w:p>
        </w:tc>
        <w:tc>
          <w:tcPr>
            <w:tcW w:w="12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-47</w:t>
            </w:r>
          </w:p>
        </w:tc>
        <w:tc>
          <w:tcPr>
            <w:tcW w:w="12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adjustments</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Carrying amount on 31 December</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197</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lease liabilities</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Non-current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157</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Current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r>
    </w:tbl>
    <w:p w:rsidR="0058370B" w:rsidP="00E93E42" w14:paraId="15B651CE" w14:textId="77777777">
      <w:pPr>
        <w:pStyle w:val="Bodytext2"/>
      </w:pPr>
    </w:p>
    <w:tbl>
      <w:tblPr>
        <w:tblStyle w:val="TableNormal"/>
        <w:tblCaption w:val="table_leases_2"/>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Amounts recognised in statement of income</w:t>
            </w: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Depreciation and impairment of right-of-use assets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-47</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expenses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Expense - short-term leases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Expense - leases of low-value assets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Expense - variable lease payments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bl>
    <w:p w:rsidR="000D2EFD" w:rsidP="00E93E42" w14:paraId="31826039" w14:textId="1AF0D4BB">
      <w:pPr>
        <w:pStyle w:val="Bodytext2"/>
      </w:pPr>
    </w:p>
    <w:p w:rsidR="00EB552C" w:rsidRPr="0058370B" w:rsidP="00E93E42" w14:paraId="241DB82B" w14:textId="629491A8">
      <w:pPr>
        <w:pStyle w:val="Bodytext2"/>
      </w:pPr>
      <w:r w:rsidRPr="0063505C">
        <w:t>The residual value guarantees relat</w:t>
      </w:r>
      <w:r w:rsidRPr="0063505C" w:rsidR="00E93E42">
        <w:t>ed</w:t>
      </w:r>
      <w:r w:rsidRPr="0063505C">
        <w:t xml:space="preserve"> to the Smart Technology Hub in Vaasa that are not considered in capitalised lease payments are disclosed in </w:t>
      </w:r>
      <w:r w:rsidRPr="0063505C" w:rsidR="00E93E42">
        <w:t>N</w:t>
      </w:r>
      <w:r w:rsidRPr="0063505C">
        <w:t xml:space="preserve">ote </w:t>
      </w:r>
      <w:r w:rsidRPr="0063505C" w:rsidR="00ED613C">
        <w:t>7.1. Collateral, contingent liabilities</w:t>
      </w:r>
      <w:r w:rsidRPr="0063505C" w:rsidR="00E93E42">
        <w:t>,</w:t>
      </w:r>
      <w:r w:rsidRPr="0063505C" w:rsidR="00ED613C">
        <w:t xml:space="preserve"> and other commitments.</w:t>
      </w:r>
    </w:p>
    <w:p/>
    <w:p w:rsidR="00370040" w:rsidP="00370040" w14:paraId="2EA96301" w14:textId="77777777">
      <w:pPr>
        <w:pStyle w:val="Heading12"/>
      </w:pPr>
      <w:bookmarkStart w:id="1471" w:name="RG_MARKER_7336"/>
      <w:r>
        <w:t>3.5. DEPRECIATION, AMORTISATION AND IMPAIRMENT</w:t>
      </w:r>
      <w:bookmarkEnd w:id="1471"/>
    </w:p>
    <w:p w:rsidR="00370040" w:rsidP="00370040" w14:paraId="25883B9A" w14:textId="77777777">
      <w:pPr>
        <w:spacing w:before="48" w:after="0"/>
        <w:rPr>
          <w:rFonts w:ascii="Arial" w:hAnsi="Arial" w:cs="Arial"/>
          <w:sz w:val="15"/>
          <w:szCs w:val="15"/>
          <w:lang w:val="en-GB"/>
        </w:rPr>
      </w:pPr>
    </w:p>
    <w:tbl>
      <w:tblPr>
        <w:tblStyle w:val="TableNormal"/>
        <w:tblCaption w:val="table_depreciation"/>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Development expenses</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Purchase price allocation amortisation</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intangible assets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Buildings and structures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Land and buildings, right-of-use assets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Machinery and equipment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37</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Machinery and equipment, right-of-use assets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tangible assets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Impairment</w:t>
            </w:r>
          </w:p>
        </w:tc>
        <w:tc>
          <w:tcPr>
            <w:tcW w:w="1245"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c>
          <w:tcPr>
            <w:tcW w:w="1245"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162</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174</w:t>
            </w:r>
          </w:p>
        </w:tc>
      </w:tr>
    </w:tbl>
    <w:p w:rsidR="00370040" w:rsidRPr="00AB0EAF" w:rsidP="00370040" w14:paraId="6AD21856" w14:textId="008499FF">
      <w:pPr>
        <w:pStyle w:val="Bodytext2"/>
        <w:rPr>
          <w:color w:val="auto"/>
          <w:sz w:val="2"/>
          <w:szCs w:val="2"/>
        </w:rPr>
      </w:pPr>
      <w:r w:rsidRPr="00273260">
        <w:rPr>
          <w:sz w:val="2"/>
          <w:szCs w:val="2"/>
        </w:rPr>
        <w:br w:type="column"/>
      </w:r>
    </w:p>
    <w:p w:rsidR="00B14CC9" w:rsidRPr="00D3559C" w:rsidP="00370040" w14:textId="39027759">
      <w:pPr>
        <w:rPr>
          <w:sz w:val="2"/>
          <w:szCs w:val="2"/>
          <w:lang w:val="en-US"/>
        </w:rPr>
      </w:pPr>
      <w:r>
        <w:t xml:space="preserve"> </w:t>
      </w:r>
    </w:p>
    <w:p w:rsidR="00DF6003" w:rsidP="005245C9" w14:paraId="22FBE07B" w14:textId="77777777">
      <w:pPr>
        <w:pStyle w:val="Heading11"/>
      </w:pPr>
      <w:bookmarkStart w:id="1472" w:name="RG_MARKER_7255"/>
      <w:bookmarkStart w:id="1473" w:name="RG_MARKER_7328"/>
      <w:r>
        <w:rPr>
          <w:noProof/>
        </w:rPr>
        <w:drawing>
          <wp:anchor distT="0" distB="0" distL="114300" distR="114300" simplePos="0" relativeHeight="251671552" behindDoc="1" locked="0" layoutInCell="1" allowOverlap="1">
            <wp:simplePos x="0" y="0"/>
            <wp:positionH relativeFrom="page">
              <wp:posOffset>0</wp:posOffset>
            </wp:positionH>
            <wp:positionV relativeFrom="page">
              <wp:posOffset>1155940</wp:posOffset>
            </wp:positionV>
            <wp:extent cx="5115600" cy="5580000"/>
            <wp:effectExtent l="0" t="0" r="8890" b="1905"/>
            <wp:wrapNone/>
            <wp:docPr id="713582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897478" name="Picture 1"/>
                    <pic:cNvPicPr/>
                  </pic:nvPicPr>
                  <pic:blipFill>
                    <a:blip xmlns:r="http://schemas.openxmlformats.org/officeDocument/2006/relationships" r:embed="rId55">
                      <a:extLst>
                        <a:ext xmlns:a="http://schemas.openxmlformats.org/drawingml/2006/main" uri="{28A0092B-C50C-407E-A947-70E740481C1C}">
                          <a14:useLocalDpi xmlns:a14="http://schemas.microsoft.com/office/drawing/2010/main" val="0"/>
                        </a:ext>
                      </a:extLst>
                    </a:blip>
                    <a:stretch>
                      <a:fillRect/>
                    </a:stretch>
                  </pic:blipFill>
                  <pic:spPr>
                    <a:xfrm>
                      <a:off x="0" y="0"/>
                      <a:ext cx="5115600" cy="5580000"/>
                    </a:xfrm>
                    <a:prstGeom prst="rect">
                      <a:avLst/>
                    </a:prstGeom>
                  </pic:spPr>
                </pic:pic>
              </a:graphicData>
            </a:graphic>
            <wp14:sizeRelH relativeFrom="page">
              <wp14:pctWidth>0</wp14:pctWidth>
            </wp14:sizeRelH>
            <wp14:sizeRelV relativeFrom="page">
              <wp14:pctHeight>0</wp14:pctHeight>
            </wp14:sizeRelV>
          </wp:anchor>
        </w:drawing>
      </w:r>
      <w:bookmarkEnd w:id="1473"/>
      <w:bookmarkEnd w:id="1472"/>
    </w:p>
    <w:p w:rsidR="00DF6003" w:rsidP="005245C9" w14:paraId="33DF9FFB" w14:textId="77777777">
      <w:pPr>
        <w:pStyle w:val="Heading11"/>
      </w:pPr>
    </w:p>
    <w:p w:rsidR="00DF6003" w:rsidP="005245C9" w14:paraId="25093D19" w14:textId="77777777">
      <w:pPr>
        <w:pStyle w:val="Heading11"/>
      </w:pPr>
    </w:p>
    <w:p w:rsidR="00DF6003" w:rsidP="005245C9" w14:paraId="6E79A48C" w14:textId="77777777">
      <w:pPr>
        <w:pStyle w:val="Heading11"/>
      </w:pPr>
    </w:p>
    <w:p w:rsidR="00DF6003" w:rsidP="005245C9" w14:paraId="4BAA7F1A" w14:textId="77777777">
      <w:pPr>
        <w:pStyle w:val="Heading11"/>
      </w:pPr>
    </w:p>
    <w:p w:rsidR="00DF6003" w:rsidP="005245C9" w14:paraId="66DAE62E" w14:textId="77777777">
      <w:pPr>
        <w:pStyle w:val="Heading11"/>
      </w:pPr>
    </w:p>
    <w:p w:rsidR="00DF6003" w:rsidP="005245C9" w14:paraId="76BD5577" w14:textId="77777777">
      <w:pPr>
        <w:pStyle w:val="Heading11"/>
      </w:pPr>
    </w:p>
    <w:p w:rsidR="00DF6003" w:rsidP="005245C9" w14:paraId="58849F81" w14:textId="77777777">
      <w:pPr>
        <w:pStyle w:val="Heading11"/>
      </w:pPr>
    </w:p>
    <w:p w:rsidR="00DF6003" w:rsidP="005245C9" w14:paraId="72E7F9A4" w14:textId="77777777">
      <w:pPr>
        <w:pStyle w:val="Heading11"/>
      </w:pPr>
    </w:p>
    <w:p w:rsidR="00DF6003" w:rsidP="005245C9" w14:paraId="48610A5B" w14:textId="77777777">
      <w:pPr>
        <w:pStyle w:val="Heading11"/>
      </w:pPr>
    </w:p>
    <w:p w:rsidR="00DF6003" w:rsidP="005245C9" w14:paraId="4DD70F9D" w14:textId="77777777">
      <w:pPr>
        <w:pStyle w:val="Heading11"/>
      </w:pPr>
    </w:p>
    <w:p w:rsidR="00DF6003" w:rsidP="005245C9" w14:paraId="4E7EC99C" w14:textId="77777777">
      <w:pPr>
        <w:pStyle w:val="Heading11"/>
      </w:pPr>
    </w:p>
    <w:p w:rsidR="00DF6003" w:rsidP="005245C9" w14:paraId="71093BC3" w14:textId="77777777">
      <w:pPr>
        <w:pStyle w:val="Heading11"/>
      </w:pPr>
    </w:p>
    <w:p w:rsidR="00DF6003" w:rsidP="005245C9" w14:paraId="0A469CBB" w14:textId="77777777">
      <w:pPr>
        <w:pStyle w:val="Heading11"/>
      </w:pPr>
    </w:p>
    <w:p w:rsidR="00DF6003" w:rsidP="005245C9" w14:paraId="51F77332" w14:textId="77777777">
      <w:pPr>
        <w:pStyle w:val="Heading11"/>
      </w:pPr>
    </w:p>
    <w:p w:rsidR="00DF6003" w:rsidP="005245C9" w14:paraId="1D0B2706" w14:textId="77777777">
      <w:pPr>
        <w:pStyle w:val="Heading11"/>
      </w:pPr>
    </w:p>
    <w:p w:rsidR="00DF6003" w:rsidP="005245C9" w14:paraId="4FE4CD32" w14:textId="77777777">
      <w:pPr>
        <w:pStyle w:val="Heading11"/>
      </w:pPr>
    </w:p>
    <w:p w:rsidR="005245C9" w:rsidP="005245C9" w14:paraId="17A0E3F6" w14:textId="77777777">
      <w:pPr>
        <w:pStyle w:val="Heading11"/>
      </w:pPr>
      <w:r>
        <w:t>4. WORKING CAPITAL AND OTHER BALANCE SHEET ITEMS</w:t>
      </w:r>
    </w:p>
    <w:p w:rsidR="00AE4A2D" w:rsidP="00AE4A2D" w14:paraId="12562452" w14:textId="77777777">
      <w:pPr>
        <w:pStyle w:val="Heading12"/>
        <w:rPr>
          <w:b w:val="0"/>
        </w:rPr>
      </w:pPr>
      <w:r>
        <w:rPr>
          <w:noProof/>
        </w:rPr>
        <mc:AlternateContent>
          <mc:Choice Requires="wps">
            <w:drawing>
              <wp:anchor distT="0" distB="0" distL="114300" distR="114300" simplePos="0" relativeHeight="251699200" behindDoc="0" locked="0" layoutInCell="1" allowOverlap="1">
                <wp:simplePos x="0" y="0"/>
                <wp:positionH relativeFrom="column">
                  <wp:posOffset>0</wp:posOffset>
                </wp:positionH>
                <wp:positionV relativeFrom="paragraph">
                  <wp:posOffset>53975</wp:posOffset>
                </wp:positionV>
                <wp:extent cx="4679950" cy="0"/>
                <wp:effectExtent l="19050" t="19050" r="25400" b="19050"/>
                <wp:wrapNone/>
                <wp:docPr id="1418602783" name="Straight Connector 3"/>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3" o:spid="_x0000_s1039" style="mso-height-percent:0;mso-height-relative:page;mso-width-percent:0;mso-width-relative:margin;mso-wrap-distance-bottom:0;mso-wrap-distance-left:9pt;mso-wrap-distance-right:9pt;mso-wrap-distance-top:0;position:absolute;v-text-anchor:top;z-index:251698176" from="0,4.25pt" to="368.5pt,4.25pt" fillcolor="this" stroked="t" strokecolor="#99b7c4" strokeweight="2.25pt">
                <v:stroke endcap="round"/>
              </v:line>
            </w:pict>
          </mc:Fallback>
        </mc:AlternateContent>
      </w:r>
    </w:p>
    <w:p w:rsidR="00AE4A2D" w:rsidP="00AE4A2D" w14:paraId="0DBC0A00" w14:textId="77777777">
      <w:pPr>
        <w:pStyle w:val="Heading12"/>
        <w:rPr>
          <w:b w:val="0"/>
          <w:bCs/>
          <w:color w:val="99B7C4"/>
        </w:rPr>
      </w:pPr>
      <w:r>
        <w:rPr>
          <w:b w:val="0"/>
          <w:bCs/>
          <w:color w:val="99B7C4"/>
        </w:rPr>
        <w:t>Content in this section:</w:t>
      </w:r>
    </w:p>
    <w:p w:rsidR="00AE4A2D" w:rsidP="00AE4A2D" w14:paraId="01D85BEC" w14:textId="77777777">
      <w:pPr>
        <w:pStyle w:val="Heading12"/>
        <w:ind w:left="284"/>
        <w:rPr>
          <w:color w:val="99B7C4"/>
          <w:sz w:val="12"/>
          <w:szCs w:val="12"/>
        </w:rPr>
      </w:pPr>
    </w:p>
    <w:p w:rsidR="00AE4A2D" w:rsidP="00AE4A2D" w14:paraId="644B2FDE" w14:textId="77777777">
      <w:pPr>
        <w:pStyle w:val="Heading12"/>
        <w:ind w:left="284"/>
        <w:rPr>
          <w:color w:val="99B7C4"/>
        </w:rPr>
      </w:pPr>
      <w:r w:rsidRPr="00AE4A2D">
        <w:rPr>
          <w:color w:val="99B7C4"/>
        </w:rPr>
        <w:t>4.1. INVENTORIES</w:t>
      </w:r>
    </w:p>
    <w:p w:rsidR="00AE4A2D" w:rsidP="00AE4A2D" w14:paraId="33784E43" w14:textId="77777777">
      <w:pPr>
        <w:pStyle w:val="Heading12"/>
        <w:ind w:left="284"/>
        <w:rPr>
          <w:color w:val="99B7C4"/>
        </w:rPr>
      </w:pPr>
      <w:r>
        <w:rPr>
          <w:color w:val="99B7C4"/>
        </w:rPr>
        <w:t>4.2. TRADE RECEIVABLES AND CONTRACT ASSETS AND LIABILITIES</w:t>
      </w:r>
    </w:p>
    <w:p w:rsidR="00AE4A2D" w:rsidP="00AE4A2D" w14:paraId="295F3F6D" w14:textId="77777777">
      <w:pPr>
        <w:pStyle w:val="Heading12"/>
        <w:ind w:left="284"/>
        <w:rPr>
          <w:color w:val="99B7C4"/>
        </w:rPr>
      </w:pPr>
      <w:r>
        <w:rPr>
          <w:color w:val="99B7C4"/>
        </w:rPr>
        <w:t>4.3. OTHER RECEIVABLES</w:t>
      </w:r>
    </w:p>
    <w:p w:rsidR="00AE4A2D" w:rsidP="00AE4A2D" w14:paraId="4610FF54" w14:textId="77777777">
      <w:pPr>
        <w:pStyle w:val="Heading12"/>
        <w:ind w:left="284"/>
        <w:rPr>
          <w:color w:val="99B7C4"/>
        </w:rPr>
      </w:pPr>
      <w:r>
        <w:rPr>
          <w:color w:val="99B7C4"/>
        </w:rPr>
        <w:t>4.4. TRADE</w:t>
      </w:r>
      <w:r>
        <w:rPr>
          <w:color w:val="99B7C4"/>
        </w:rPr>
        <w:t xml:space="preserve"> PAYABLES AND OTHER LIABILITIES</w:t>
      </w:r>
    </w:p>
    <w:p w:rsidR="00AE4A2D" w:rsidP="00AE4A2D" w14:paraId="15202557" w14:textId="77777777">
      <w:pPr>
        <w:pStyle w:val="Heading12"/>
        <w:ind w:left="284"/>
        <w:rPr>
          <w:color w:val="99B7C4"/>
        </w:rPr>
      </w:pPr>
      <w:r>
        <w:rPr>
          <w:color w:val="99B7C4"/>
        </w:rPr>
        <w:t>4.5. PROVISIONS</w:t>
      </w:r>
    </w:p>
    <w:p w:rsidR="00AE4A2D" w:rsidP="00AE4A2D" w14:paraId="0D453CB2" w14:textId="77777777">
      <w:pPr>
        <w:pStyle w:val="Heading12"/>
        <w:ind w:left="284"/>
        <w:rPr>
          <w:color w:val="99B7C4"/>
        </w:rPr>
      </w:pPr>
      <w:r>
        <w:rPr>
          <w:color w:val="99B7C4"/>
        </w:rPr>
        <w:t>4.6. DEFERRED TAXES</w:t>
      </w:r>
    </w:p>
    <w:p w:rsidR="00AE4A2D" w:rsidP="00AE4A2D" w14:paraId="34363415" w14:textId="77777777">
      <w:pPr>
        <w:pStyle w:val="Heading12"/>
        <w:ind w:left="284"/>
        <w:rPr>
          <w:color w:val="99B7C4"/>
        </w:rPr>
      </w:pPr>
      <w:r>
        <w:rPr>
          <w:color w:val="99B7C4"/>
        </w:rPr>
        <w:t>4.7. PENSION OBLIGATIONS</w:t>
      </w:r>
    </w:p>
    <w:p w:rsidR="00AE4A2D" w:rsidP="00AE4A2D" w14:paraId="1E78E50B" w14:textId="77777777">
      <w:pPr>
        <w:pStyle w:val="Bodytext2"/>
      </w:pPr>
      <w:r>
        <w:rPr>
          <w:noProof/>
        </w:rPr>
        <mc:AlternateContent>
          <mc:Choice Requires="wps">
            <w:drawing>
              <wp:anchor distT="0" distB="0" distL="114300" distR="114300" simplePos="0" relativeHeight="251684864" behindDoc="0" locked="0" layoutInCell="1" allowOverlap="1">
                <wp:simplePos x="0" y="0"/>
                <wp:positionH relativeFrom="column">
                  <wp:posOffset>0</wp:posOffset>
                </wp:positionH>
                <wp:positionV relativeFrom="paragraph">
                  <wp:posOffset>71755</wp:posOffset>
                </wp:positionV>
                <wp:extent cx="4679950" cy="0"/>
                <wp:effectExtent l="19050" t="19050" r="25400" b="19050"/>
                <wp:wrapNone/>
                <wp:docPr id="145200166" name="Straight Connector 2"/>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2" o:spid="_x0000_s1040" style="mso-height-percent:0;mso-height-relative:page;mso-width-percent:0;mso-width-relative:margin;mso-wrap-distance-bottom:0;mso-wrap-distance-left:9pt;mso-wrap-distance-right:9pt;mso-wrap-distance-top:0;position:absolute;v-text-anchor:top;z-index:251683840" from="0,5.65pt" to="368.5pt,5.65pt" fillcolor="this" stroked="t" strokecolor="#99b7c4" strokeweight="2.25pt">
                <v:stroke endcap="round"/>
              </v:line>
            </w:pict>
          </mc:Fallback>
        </mc:AlternateContent>
      </w:r>
    </w:p>
    <w:p w:rsidR="00AE4A2D" w:rsidP="00AE4A2D" w14:paraId="1EF7A18D" w14:textId="77777777">
      <w:pPr>
        <w:pStyle w:val="Bodytext2"/>
        <w:rPr>
          <w:szCs w:val="15"/>
        </w:rPr>
      </w:pPr>
    </w:p>
    <w:p w:rsidR="00AE4A2D" w:rsidRPr="00AE4A2D" w:rsidP="00AE4A2D" w14:paraId="1CFD6DCD" w14:textId="77777777">
      <w:pPr>
        <w:pStyle w:val="Bodytext2"/>
      </w:pPr>
    </w:p>
    <w:p w:rsidR="005245C9" w:rsidP="005245C9" w14:paraId="416A0134" w14:textId="77777777">
      <w:pPr>
        <w:pStyle w:val="Heading12"/>
      </w:pPr>
      <w:r>
        <w:t>4.1. INVENTORIES</w:t>
      </w:r>
    </w:p>
    <w:tbl>
      <w:tblPr>
        <w:tblStyle w:val="TableGrid"/>
        <w:tblW w:w="7371" w:type="dxa"/>
        <w:tblLook w:val="04A0"/>
      </w:tblPr>
      <w:tblGrid>
        <w:gridCol w:w="7371"/>
      </w:tblGrid>
      <w:tr w14:paraId="3455ECA6" w14:textId="77777777" w:rsidTr="005245C9">
        <w:tblPrEx>
          <w:tblW w:w="7371" w:type="dxa"/>
          <w:tblLook w:val="04A0"/>
        </w:tblPrEx>
        <w:tc>
          <w:tcPr>
            <w:tcW w:w="6683" w:type="dxa"/>
            <w:tcBorders>
              <w:top w:val="nil"/>
              <w:left w:val="nil"/>
              <w:bottom w:val="nil"/>
              <w:right w:val="nil"/>
            </w:tcBorders>
            <w:shd w:val="clear" w:color="auto" w:fill="B6C8D1"/>
          </w:tcPr>
          <w:p w:rsidR="005245C9" w:rsidRPr="00927EF6" w:rsidP="005245C9" w14:paraId="1ABCF66B" w14:textId="77777777">
            <w:pPr>
              <w:pStyle w:val="Heading13"/>
              <w:rPr>
                <w:lang w:val="en-GB"/>
              </w:rPr>
            </w:pPr>
            <w:r w:rsidRPr="00927EF6">
              <w:rPr>
                <w:lang w:val="en-GB"/>
              </w:rPr>
              <w:t>Accounting principles</w:t>
            </w:r>
          </w:p>
          <w:p w:rsidR="00AA644C" w:rsidP="005245C9" w14:paraId="5E462822" w14:textId="77777777">
            <w:pPr>
              <w:pStyle w:val="Bodytext2"/>
              <w:rPr>
                <w:lang w:val="en-GB"/>
              </w:rPr>
            </w:pPr>
            <w:r w:rsidRPr="00927EF6">
              <w:rPr>
                <w:color w:val="0F172B"/>
                <w:lang w:val="en-GB"/>
              </w:rPr>
              <w:t xml:space="preserve">Inventories are valued at the lower of cost and net realisable </w:t>
            </w:r>
            <w:r w:rsidRPr="005C7FA8">
              <w:rPr>
                <w:color w:val="0F172B"/>
                <w:lang w:val="en-GB"/>
              </w:rPr>
              <w:t xml:space="preserve">value. </w:t>
            </w:r>
            <w:r w:rsidRPr="005C7FA8">
              <w:rPr>
                <w:lang w:val="en-GB"/>
              </w:rPr>
              <w:t>Net realisable value is the estimated selling price in the ordinary course of business, less the estimated costs of completion and costs necessary to make the sale.</w:t>
            </w:r>
          </w:p>
          <w:p w:rsidR="00134633" w:rsidRPr="005C7FA8" w:rsidP="005245C9" w14:paraId="447E8235" w14:textId="77777777">
            <w:pPr>
              <w:pStyle w:val="Bodytext2"/>
              <w:rPr>
                <w:color w:val="0F172B"/>
                <w:lang w:val="en-GB"/>
              </w:rPr>
            </w:pPr>
          </w:p>
          <w:p w:rsidR="001D0A65" w:rsidRPr="00E07396" w:rsidP="005245C9" w14:paraId="44560DA3" w14:textId="77777777">
            <w:pPr>
              <w:pStyle w:val="Bodytext2"/>
              <w:rPr>
                <w:color w:val="0F172B"/>
                <w:lang w:val="en-GB"/>
              </w:rPr>
            </w:pPr>
            <w:r w:rsidRPr="005C7FA8">
              <w:rPr>
                <w:color w:val="0F172B"/>
                <w:lang w:val="en-GB"/>
              </w:rPr>
              <w:t xml:space="preserve">Materials and </w:t>
            </w:r>
            <w:r w:rsidRPr="005C7FA8">
              <w:rPr>
                <w:color w:val="0F172B"/>
                <w:lang w:val="en-GB"/>
              </w:rPr>
              <w:t>consumables are valued at weighted average cost or at</w:t>
            </w:r>
            <w:r w:rsidRPr="00927EF6">
              <w:rPr>
                <w:color w:val="0F172B"/>
                <w:lang w:val="en-GB"/>
              </w:rPr>
              <w:t xml:space="preserve"> moving average price. Finished products are valued at direct purchasing and manufacturing costs </w:t>
            </w:r>
            <w:r>
              <w:rPr>
                <w:color w:val="0F172B"/>
                <w:lang w:val="en-GB"/>
              </w:rPr>
              <w:t>plus</w:t>
            </w:r>
            <w:r w:rsidRPr="00927EF6">
              <w:rPr>
                <w:color w:val="0F172B"/>
                <w:lang w:val="en-GB"/>
              </w:rPr>
              <w:t xml:space="preserve"> allocated purchasing and manufacturing overhead costs. Work in progress includes costs for direct lab</w:t>
            </w:r>
            <w:r w:rsidRPr="00927EF6">
              <w:rPr>
                <w:color w:val="0F172B"/>
                <w:lang w:val="en-GB"/>
              </w:rPr>
              <w:t>our and material costs</w:t>
            </w:r>
            <w:r>
              <w:rPr>
                <w:color w:val="0F172B"/>
                <w:lang w:val="en-GB"/>
              </w:rPr>
              <w:t>,</w:t>
            </w:r>
            <w:r w:rsidRPr="00927EF6">
              <w:rPr>
                <w:color w:val="0F172B"/>
                <w:lang w:val="en-GB"/>
              </w:rPr>
              <w:t xml:space="preserve"> and allocated overhead costs related to manufacturing and purchasing when control has not yet </w:t>
            </w:r>
            <w:r>
              <w:rPr>
                <w:color w:val="0F172B"/>
                <w:lang w:val="en-GB"/>
              </w:rPr>
              <w:t xml:space="preserve">been </w:t>
            </w:r>
            <w:r w:rsidRPr="00927EF6">
              <w:rPr>
                <w:color w:val="0F172B"/>
                <w:lang w:val="en-GB"/>
              </w:rPr>
              <w:t xml:space="preserve">transferred to the </w:t>
            </w:r>
            <w:r w:rsidRPr="005C7FA8">
              <w:rPr>
                <w:color w:val="0F172B"/>
                <w:lang w:val="en-GB"/>
              </w:rPr>
              <w:t xml:space="preserve">customer. </w:t>
            </w:r>
            <w:r w:rsidRPr="005C7FA8">
              <w:rPr>
                <w:lang w:val="en-GB"/>
              </w:rPr>
              <w:t>Inventories are presented net of provision for obsolete inventories</w:t>
            </w:r>
            <w:r>
              <w:rPr>
                <w:lang w:val="en-GB"/>
              </w:rPr>
              <w:t>.</w:t>
            </w:r>
          </w:p>
        </w:tc>
      </w:tr>
    </w:tbl>
    <w:p w:rsidR="005245C9" w:rsidP="005245C9" w14:paraId="5F646C40" w14:textId="77777777">
      <w:pPr>
        <w:pStyle w:val="Bodytext2"/>
        <w:rPr>
          <w:color w:val="0F172B"/>
        </w:rPr>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1896178F" w14:textId="77777777" w:rsidTr="00134633">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134633" w:rsidRPr="00927EF6" w:rsidP="00134633" w14:paraId="2A99CC30" w14:textId="77777777">
            <w:pPr>
              <w:pStyle w:val="Heading13"/>
              <w:rPr>
                <w:lang w:val="en-GB"/>
              </w:rPr>
            </w:pPr>
            <w:r w:rsidRPr="00927EF6">
              <w:rPr>
                <w:lang w:val="en-GB"/>
              </w:rPr>
              <w:t>Accounting estimates and judgemen</w:t>
            </w:r>
            <w:r w:rsidRPr="00927EF6">
              <w:rPr>
                <w:lang w:val="en-GB"/>
              </w:rPr>
              <w:t>ts</w:t>
            </w:r>
          </w:p>
          <w:p w:rsidR="00134633" w:rsidRPr="00134633" w:rsidP="00134633" w14:paraId="693B075B" w14:textId="77777777">
            <w:pPr>
              <w:pStyle w:val="Bodytext2"/>
              <w:rPr>
                <w:color w:val="0F172B"/>
                <w:lang w:val="en-GB"/>
              </w:rPr>
            </w:pPr>
            <w:r w:rsidRPr="00927EF6">
              <w:rPr>
                <w:color w:val="0F172B"/>
                <w:lang w:val="en-GB"/>
              </w:rPr>
              <w:t>Writing down inventories to net realisable value due</w:t>
            </w:r>
            <w:r w:rsidRPr="00E07396">
              <w:rPr>
                <w:color w:val="0F172B"/>
                <w:lang w:val="en-GB"/>
              </w:rPr>
              <w:t xml:space="preserve"> to obsolete and excess stock, is performed based on the management’s best estimate on the balance sheet </w:t>
            </w:r>
            <w:r w:rsidRPr="005C7FA8">
              <w:rPr>
                <w:color w:val="0F172B"/>
                <w:lang w:val="en-GB"/>
              </w:rPr>
              <w:t xml:space="preserve">date. </w:t>
            </w:r>
            <w:r w:rsidRPr="005C7FA8">
              <w:rPr>
                <w:lang w:val="en-GB"/>
              </w:rPr>
              <w:t>A systematic and continuous evaluation</w:t>
            </w:r>
            <w:r w:rsidRPr="00E07396">
              <w:rPr>
                <w:color w:val="0F172B"/>
                <w:lang w:val="en-GB"/>
              </w:rPr>
              <w:t xml:space="preserve"> of inventory ag</w:t>
            </w:r>
            <w:r>
              <w:rPr>
                <w:color w:val="0F172B"/>
                <w:lang w:val="en-GB"/>
              </w:rPr>
              <w:t>e</w:t>
            </w:r>
            <w:r w:rsidRPr="00E07396">
              <w:rPr>
                <w:color w:val="0F172B"/>
                <w:lang w:val="en-GB"/>
              </w:rPr>
              <w:t>ing, turn</w:t>
            </w:r>
            <w:r>
              <w:rPr>
                <w:color w:val="0F172B"/>
                <w:lang w:val="en-GB"/>
              </w:rPr>
              <w:t>-</w:t>
            </w:r>
            <w:r w:rsidRPr="00E07396">
              <w:rPr>
                <w:color w:val="0F172B"/>
                <w:lang w:val="en-GB"/>
              </w:rPr>
              <w:t>over</w:t>
            </w:r>
            <w:r>
              <w:rPr>
                <w:color w:val="0F172B"/>
                <w:lang w:val="en-GB"/>
              </w:rPr>
              <w:t>,</w:t>
            </w:r>
            <w:r w:rsidRPr="00E07396">
              <w:rPr>
                <w:color w:val="0F172B"/>
                <w:lang w:val="en-GB"/>
              </w:rPr>
              <w:t xml:space="preserve"> and composition com</w:t>
            </w:r>
            <w:r w:rsidRPr="00E07396">
              <w:rPr>
                <w:color w:val="0F172B"/>
                <w:lang w:val="en-GB"/>
              </w:rPr>
              <w:t>pared to anticipated future use</w:t>
            </w:r>
            <w:r>
              <w:rPr>
                <w:color w:val="0F172B"/>
                <w:lang w:val="en-GB"/>
              </w:rPr>
              <w:t>,</w:t>
            </w:r>
            <w:r w:rsidRPr="00E07396">
              <w:rPr>
                <w:color w:val="0F172B"/>
                <w:lang w:val="en-GB"/>
              </w:rPr>
              <w:t xml:space="preserve"> is the basis for the estimates.</w:t>
            </w:r>
          </w:p>
        </w:tc>
      </w:tr>
    </w:tbl>
    <w:p w:rsidR="00134633" w:rsidRPr="00586F6C" w:rsidP="00586F6C" w14:paraId="51129932" w14:textId="77777777">
      <w:pPr>
        <w:pStyle w:val="Bodytext2"/>
        <w:spacing w:before="0"/>
        <w:rPr>
          <w:sz w:val="2"/>
          <w:szCs w:val="2"/>
        </w:rPr>
      </w:pPr>
      <w:r>
        <w:br w:type="column"/>
      </w:r>
      <w:r w:rsidRPr="00586F6C">
        <w:rPr>
          <w:sz w:val="2"/>
          <w:szCs w:val="2"/>
        </w:rPr>
        <w:t xml:space="preserve">     </w:t>
      </w:r>
    </w:p>
    <w:tbl>
      <w:tblPr>
        <w:tblStyle w:val="TableNormal"/>
        <w:tblCaption w:val="table_inventories"/>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Materials and consumables</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453</w:t>
            </w:r>
          </w:p>
        </w:tc>
        <w:tc>
          <w:tcPr>
            <w:tcW w:w="124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Work in progress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626</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632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Finished products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Advances paid </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58</w:t>
            </w:r>
          </w:p>
        </w:tc>
        <w:tc>
          <w:tcPr>
            <w:tcW w:w="124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1,185</w:t>
            </w:r>
          </w:p>
        </w:tc>
        <w:tc>
          <w:tcPr>
            <w:tcW w:w="124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1,192</w:t>
            </w:r>
          </w:p>
        </w:tc>
      </w:tr>
    </w:tbl>
    <w:p w:rsidR="005245C9" w:rsidP="005245C9" w14:paraId="03268D79" w14:textId="77777777">
      <w:pPr>
        <w:pStyle w:val="Bodytext2"/>
        <w:rPr>
          <w:color w:val="0F172B"/>
        </w:rPr>
      </w:pPr>
    </w:p>
    <w:p w:rsidR="00707F6A" w:rsidP="00707F6A" w14:paraId="790E1F97" w14:textId="4AC55514">
      <w:pPr>
        <w:pStyle w:val="Bodytext2"/>
        <w:rPr>
          <w:color w:val="0F172B"/>
        </w:rPr>
      </w:pPr>
      <w:r>
        <w:rPr>
          <w:color w:val="0F172B"/>
        </w:rPr>
        <w:t>In 2021, EUR 13 million (24) impairment for obsolete inventories has been recognised</w:t>
      </w:r>
      <w:r>
        <w:rPr>
          <w:color w:val="0F172B"/>
        </w:rPr>
        <w:t xml:space="preserve"> in the consolidated statement of income. The total value of inventories related to assets held for sale amounts to EUR 4 million (23).</w:t>
      </w:r>
    </w:p>
    <w:p/>
    <w:p w:rsidR="00305DFD" w:rsidP="00305DFD" w14:paraId="362BC54F" w14:textId="77777777">
      <w:pPr>
        <w:pStyle w:val="Heading12"/>
      </w:pPr>
      <w:bookmarkStart w:id="1474" w:name="RG_MARKER_7329"/>
      <w:r>
        <w:t>4.2. TRADE RECEIVABLES AND CONTRACT ASSETS AND LIABILITIES</w:t>
      </w:r>
      <w:bookmarkEnd w:id="1474"/>
    </w:p>
    <w:tbl>
      <w:tblPr>
        <w:tblStyle w:val="TableGrid"/>
        <w:tblW w:w="7371" w:type="dxa"/>
        <w:tblLook w:val="04A0"/>
      </w:tblPr>
      <w:tblGrid>
        <w:gridCol w:w="7371"/>
      </w:tblGrid>
      <w:tr w14:paraId="311EB6DD" w14:textId="77777777" w:rsidTr="00305DFD">
        <w:tblPrEx>
          <w:tblW w:w="7371" w:type="dxa"/>
          <w:tblLook w:val="04A0"/>
        </w:tblPrEx>
        <w:tc>
          <w:tcPr>
            <w:tcW w:w="6683" w:type="dxa"/>
            <w:tcBorders>
              <w:top w:val="nil"/>
              <w:left w:val="nil"/>
              <w:bottom w:val="nil"/>
              <w:right w:val="nil"/>
            </w:tcBorders>
            <w:shd w:val="clear" w:color="auto" w:fill="B6C8D1"/>
          </w:tcPr>
          <w:p w:rsidR="00305DFD" w:rsidRPr="001D18D5" w:rsidP="00305DFD" w14:paraId="483D37CC" w14:textId="77777777">
            <w:pPr>
              <w:pStyle w:val="Heading13"/>
              <w:rPr>
                <w:lang w:val="en-GB"/>
              </w:rPr>
            </w:pPr>
            <w:r w:rsidRPr="001D18D5">
              <w:rPr>
                <w:lang w:val="en-GB"/>
              </w:rPr>
              <w:t>Accounting principles</w:t>
            </w:r>
          </w:p>
          <w:p w:rsidR="00305DFD" w:rsidRPr="001D18D5" w:rsidP="00305DFD" w14:paraId="6F926D9D" w14:textId="696652D1">
            <w:pPr>
              <w:pStyle w:val="Bodytext2"/>
              <w:rPr>
                <w:lang w:val="en-GB"/>
              </w:rPr>
            </w:pPr>
            <w:r w:rsidRPr="001D18D5">
              <w:rPr>
                <w:lang w:val="en-GB"/>
              </w:rPr>
              <w:t>Trade receivables are recognised when the right to consideration becomes unconditional</w:t>
            </w:r>
            <w:r w:rsidRPr="001D18D5">
              <w:rPr>
                <w:lang w:val="en-GB"/>
              </w:rPr>
              <w:t xml:space="preserve">. The Group’s trade receivables are measured at amortised cost, which is the original invoiced amount less an estimated valuation allowance for impairment. The Group assesses </w:t>
            </w:r>
            <w:r>
              <w:rPr>
                <w:lang w:val="en-GB"/>
              </w:rPr>
              <w:t>any</w:t>
            </w:r>
            <w:r w:rsidRPr="001D18D5">
              <w:rPr>
                <w:lang w:val="en-GB"/>
              </w:rPr>
              <w:t xml:space="preserve"> possible increase in the credit risk for financial assets measured at amortis</w:t>
            </w:r>
            <w:r w:rsidRPr="001D18D5">
              <w:rPr>
                <w:lang w:val="en-GB"/>
              </w:rPr>
              <w:t xml:space="preserve">ed cost at the end of each reporting period individually. The methodology applied depends on whether there has been a significant increase in credit risk. </w:t>
            </w:r>
            <w:r>
              <w:rPr>
                <w:lang w:val="en-GB"/>
              </w:rPr>
              <w:t xml:space="preserve">If there has not been a significant increase in credit risk, the </w:t>
            </w:r>
            <w:r w:rsidRPr="001D18D5">
              <w:rPr>
                <w:lang w:val="en-GB"/>
              </w:rPr>
              <w:t>loss allowance is estimated at an am</w:t>
            </w:r>
            <w:r w:rsidRPr="001D18D5">
              <w:rPr>
                <w:lang w:val="en-GB"/>
              </w:rPr>
              <w:t>ount equal to lifetime expected credit losses at the current reporting date.</w:t>
            </w:r>
          </w:p>
          <w:p w:rsidR="00305DFD" w:rsidRPr="001D18D5" w:rsidP="00305DFD" w14:paraId="5F841E70" w14:textId="77777777">
            <w:pPr>
              <w:pStyle w:val="Bodytext2"/>
              <w:rPr>
                <w:lang w:val="en-GB"/>
              </w:rPr>
            </w:pPr>
          </w:p>
          <w:p w:rsidR="00305DFD" w:rsidRPr="001D18D5" w:rsidP="00305DFD" w14:paraId="6A909902" w14:textId="158409B3">
            <w:pPr>
              <w:pStyle w:val="Bodytext2"/>
              <w:rPr>
                <w:lang w:val="en-GB"/>
              </w:rPr>
            </w:pPr>
            <w:r w:rsidRPr="001D18D5">
              <w:rPr>
                <w:lang w:val="en-GB"/>
              </w:rPr>
              <w:t>For trade receivables and contract assets, a simplified approach is used, and the loss allowance is measured at the estimate of the lifetime expected credit losses. The Group use</w:t>
            </w:r>
            <w:r w:rsidRPr="001D18D5">
              <w:rPr>
                <w:lang w:val="en-GB"/>
              </w:rPr>
              <w:t>s a provision matrix for estimating the expected credit loss where receivables are segregated depending on the ag</w:t>
            </w:r>
            <w:r>
              <w:rPr>
                <w:lang w:val="en-GB"/>
              </w:rPr>
              <w:t>e</w:t>
            </w:r>
            <w:r w:rsidRPr="001D18D5">
              <w:rPr>
                <w:lang w:val="en-GB"/>
              </w:rPr>
              <w:t xml:space="preserve">ing category and the origin of the receivable. </w:t>
            </w:r>
            <w:r>
              <w:rPr>
                <w:lang w:val="en-GB"/>
              </w:rPr>
              <w:t xml:space="preserve">The </w:t>
            </w:r>
            <w:r w:rsidRPr="001D18D5">
              <w:rPr>
                <w:lang w:val="en-GB"/>
              </w:rPr>
              <w:t xml:space="preserve">Group has </w:t>
            </w:r>
            <w:r>
              <w:rPr>
                <w:lang w:val="en-GB"/>
              </w:rPr>
              <w:t xml:space="preserve">an </w:t>
            </w:r>
            <w:r w:rsidRPr="001D18D5">
              <w:rPr>
                <w:lang w:val="en-GB"/>
              </w:rPr>
              <w:t>effective collection process in place which decreases the possible risk of cre</w:t>
            </w:r>
            <w:r w:rsidRPr="001D18D5">
              <w:rPr>
                <w:lang w:val="en-GB"/>
              </w:rPr>
              <w:t>dit losses. Also, to mitigate the credit risk, advance payments and payment guarantees are in use. In calculating the expected credit loss rates, the Group considers historical loss rates for each category, and adjusts for forward looking macroeconomic dat</w:t>
            </w:r>
            <w:r w:rsidRPr="001D18D5">
              <w:rPr>
                <w:lang w:val="en-GB"/>
              </w:rPr>
              <w:t>a. Based on the analysis, for trade receivables not due</w:t>
            </w:r>
            <w:r>
              <w:rPr>
                <w:lang w:val="en-GB"/>
              </w:rPr>
              <w:t>,</w:t>
            </w:r>
            <w:r w:rsidRPr="001D18D5">
              <w:rPr>
                <w:lang w:val="en-GB"/>
              </w:rPr>
              <w:t xml:space="preserve"> or </w:t>
            </w:r>
            <w:r>
              <w:rPr>
                <w:lang w:val="en-GB"/>
              </w:rPr>
              <w:t xml:space="preserve">a </w:t>
            </w:r>
            <w:r w:rsidRPr="001D18D5">
              <w:rPr>
                <w:lang w:val="en-GB"/>
              </w:rPr>
              <w:t>maximum</w:t>
            </w:r>
            <w:r>
              <w:rPr>
                <w:lang w:val="en-GB"/>
              </w:rPr>
              <w:t xml:space="preserve"> of</w:t>
            </w:r>
            <w:r w:rsidRPr="001D18D5">
              <w:rPr>
                <w:lang w:val="en-GB"/>
              </w:rPr>
              <w:t xml:space="preserve"> 359 days overdue, an impairment of 0.1%-2.0% is made. In addition to that, trade receivables more than 360 days old are assessed </w:t>
            </w:r>
            <w:r>
              <w:rPr>
                <w:lang w:val="en-GB"/>
              </w:rPr>
              <w:t xml:space="preserve">individually </w:t>
            </w:r>
            <w:r w:rsidRPr="001D18D5">
              <w:rPr>
                <w:lang w:val="en-GB"/>
              </w:rPr>
              <w:t>for impairment. Examples of events giving</w:t>
            </w:r>
            <w:r w:rsidRPr="001D18D5">
              <w:rPr>
                <w:lang w:val="en-GB"/>
              </w:rPr>
              <w:t xml:space="preserve"> rise to impairment include a debtor’s serious financial problems, and a debtor’s probable bankruptcy or other financial arrangement.</w:t>
            </w:r>
          </w:p>
          <w:p w:rsidR="00305DFD" w:rsidRPr="001D18D5" w:rsidP="00305DFD" w14:paraId="484AD843" w14:textId="77777777">
            <w:pPr>
              <w:pStyle w:val="Bodytext2"/>
              <w:rPr>
                <w:lang w:val="en-GB"/>
              </w:rPr>
            </w:pPr>
          </w:p>
          <w:p w:rsidR="00305DFD" w:rsidRPr="001D18D5" w:rsidP="00305DFD" w14:paraId="7A5769D0" w14:textId="7D943403">
            <w:pPr>
              <w:pStyle w:val="Bodytext2"/>
              <w:rPr>
                <w:lang w:val="en-GB"/>
              </w:rPr>
            </w:pPr>
            <w:r w:rsidRPr="001D18D5">
              <w:rPr>
                <w:lang w:val="en-GB"/>
              </w:rPr>
              <w:t>Trade receivables are permanently written off when there is no reasonable expectation of recovery.</w:t>
            </w:r>
          </w:p>
          <w:p w:rsidR="00305DFD" w:rsidRPr="001D18D5" w:rsidP="00305DFD" w14:paraId="06834AD9" w14:textId="77777777">
            <w:pPr>
              <w:pStyle w:val="Bodytext2"/>
              <w:rPr>
                <w:lang w:val="en-GB"/>
              </w:rPr>
            </w:pPr>
          </w:p>
          <w:p w:rsidR="00305DFD" w:rsidRPr="001D18D5" w:rsidP="00305DFD" w14:paraId="75DB2B17" w14:textId="25CB19B8">
            <w:pPr>
              <w:pStyle w:val="Bodytext2"/>
              <w:rPr>
                <w:lang w:val="en-GB"/>
              </w:rPr>
            </w:pPr>
            <w:r w:rsidRPr="001D18D5">
              <w:rPr>
                <w:lang w:val="en-GB"/>
              </w:rPr>
              <w:t>The Group may sell un</w:t>
            </w:r>
            <w:r w:rsidRPr="001D18D5">
              <w:rPr>
                <w:lang w:val="en-GB"/>
              </w:rPr>
              <w:t>divided interests in trade receivables on an ongoing and one-time basis to lending institutions. Financial assets sold under these arrangements are excluded from trade receivables in the statement of financial position at the time of payment from the acqui</w:t>
            </w:r>
            <w:r w:rsidRPr="001D18D5">
              <w:rPr>
                <w:lang w:val="en-GB"/>
              </w:rPr>
              <w:t xml:space="preserve">rer, </w:t>
            </w:r>
            <w:r>
              <w:rPr>
                <w:lang w:val="en-GB"/>
              </w:rPr>
              <w:t>providing</w:t>
            </w:r>
            <w:r w:rsidRPr="001D18D5">
              <w:rPr>
                <w:lang w:val="en-GB"/>
              </w:rPr>
              <w:t xml:space="preserve"> that substantially all risks and rewards have been transferred. If the acquirer has not settled payment to the extent that the ownership, risk</w:t>
            </w:r>
            <w:r>
              <w:rPr>
                <w:lang w:val="en-GB"/>
              </w:rPr>
              <w:t>,</w:t>
            </w:r>
            <w:r w:rsidRPr="001D18D5">
              <w:rPr>
                <w:lang w:val="en-GB"/>
              </w:rPr>
              <w:t xml:space="preserve"> and control over the receivable have been substantially transferred, then such financial assets s</w:t>
            </w:r>
            <w:r w:rsidRPr="001D18D5">
              <w:rPr>
                <w:lang w:val="en-GB"/>
              </w:rPr>
              <w:t>old are re-recognised in the statement of financial position at the end of the reporting period.</w:t>
            </w:r>
          </w:p>
          <w:p w:rsidR="00305DFD" w:rsidRPr="001D18D5" w:rsidP="00305DFD" w14:paraId="7410FD66" w14:textId="77777777">
            <w:pPr>
              <w:pStyle w:val="Bodytext2"/>
              <w:rPr>
                <w:lang w:val="en-GB"/>
              </w:rPr>
            </w:pPr>
          </w:p>
          <w:p w:rsidR="00305DFD" w:rsidRPr="001D18D5" w:rsidP="00305DFD" w14:paraId="4AD62F8F" w14:textId="75A5E4FA">
            <w:pPr>
              <w:pStyle w:val="Bodytext2"/>
              <w:rPr>
                <w:lang w:val="en-GB"/>
              </w:rPr>
            </w:pPr>
            <w:r w:rsidRPr="001D18D5">
              <w:rPr>
                <w:lang w:val="en-GB"/>
              </w:rPr>
              <w:t>Contract assets and liabilities are related to contracts with customers.</w:t>
            </w:r>
          </w:p>
          <w:p w:rsidR="00305DFD" w:rsidRPr="001D18D5" w:rsidP="00305DFD" w14:paraId="15EB6462" w14:textId="77777777">
            <w:pPr>
              <w:pStyle w:val="Bodytext2"/>
              <w:rPr>
                <w:lang w:val="en-GB"/>
              </w:rPr>
            </w:pPr>
          </w:p>
          <w:p w:rsidR="00305DFD" w:rsidRPr="001D18D5" w:rsidP="00305DFD" w14:paraId="0276B881" w14:textId="39802211">
            <w:pPr>
              <w:pStyle w:val="Bodytext2"/>
              <w:rPr>
                <w:lang w:val="en-GB"/>
              </w:rPr>
            </w:pPr>
            <w:r w:rsidRPr="001D18D5">
              <w:rPr>
                <w:lang w:val="en-GB"/>
              </w:rPr>
              <w:t>When control over goods or services is transferred to a customer before the customer</w:t>
            </w:r>
            <w:r w:rsidRPr="001D18D5">
              <w:rPr>
                <w:lang w:val="en-GB"/>
              </w:rPr>
              <w:t xml:space="preserve"> pays the consideration, the receivable is recognised as a contract asset. The contract asset represents the right to future consideration. Contract assets primarily relate to the Group’s right to consideration for transferred goods or services, but which </w:t>
            </w:r>
            <w:r w:rsidRPr="001D18D5">
              <w:rPr>
                <w:lang w:val="en-GB"/>
              </w:rPr>
              <w:t xml:space="preserve">is not yet billed </w:t>
            </w:r>
            <w:r w:rsidRPr="001D18D5" w:rsidR="00137ABB">
              <w:rPr>
                <w:lang w:val="en-GB"/>
              </w:rPr>
              <w:t>at</w:t>
            </w:r>
            <w:r w:rsidRPr="001D18D5">
              <w:rPr>
                <w:lang w:val="en-GB"/>
              </w:rPr>
              <w:t xml:space="preserve"> the reporting date. The contract assets are transferred to trade receivables when the rights become unconditional.</w:t>
            </w:r>
          </w:p>
          <w:p w:rsidR="00305DFD" w:rsidRPr="00450C5F" w:rsidP="00305DFD" w14:paraId="1F90E97C" w14:textId="77777777">
            <w:pPr>
              <w:pStyle w:val="Bodytext2"/>
              <w:rPr>
                <w:lang w:val="en-GB"/>
              </w:rPr>
            </w:pPr>
          </w:p>
          <w:p w:rsidR="00305DFD" w:rsidRPr="00450C5F" w:rsidP="00305DFD" w14:paraId="58AAF24F" w14:textId="0618F393">
            <w:pPr>
              <w:pStyle w:val="Bodytext2"/>
              <w:rPr>
                <w:lang w:val="en-GB"/>
              </w:rPr>
            </w:pPr>
            <w:r w:rsidRPr="00305DFD">
              <w:rPr>
                <w:lang w:val="en-GB"/>
              </w:rPr>
              <w:t>When the customer pays consideration in advance, or</w:t>
            </w:r>
            <w:r>
              <w:rPr>
                <w:lang w:val="en-GB"/>
              </w:rPr>
              <w:t xml:space="preserve"> when</w:t>
            </w:r>
            <w:r w:rsidRPr="00305DFD">
              <w:rPr>
                <w:lang w:val="en-GB"/>
              </w:rPr>
              <w:t xml:space="preserve"> the consideration is due before transferring the </w:t>
            </w:r>
            <w:r w:rsidRPr="001D18D5">
              <w:rPr>
                <w:lang w:val="en-GB"/>
              </w:rPr>
              <w:t>contractual p</w:t>
            </w:r>
            <w:r w:rsidRPr="001D18D5">
              <w:rPr>
                <w:lang w:val="en-GB"/>
              </w:rPr>
              <w:t xml:space="preserve">erformance obligation, the amount received in advance is presented as a contract liability. </w:t>
            </w:r>
            <w:r w:rsidRPr="001D18D5">
              <w:rPr>
                <w:lang w:val="en-GB"/>
              </w:rPr>
              <w:t>Contract liabilities are recognised as revenue when the Group performs under the contract. Advances received and deferred revenue relate to payments received</w:t>
            </w:r>
            <w:r>
              <w:rPr>
                <w:lang w:val="en-GB"/>
              </w:rPr>
              <w:t>,</w:t>
            </w:r>
            <w:r w:rsidRPr="001D18D5">
              <w:rPr>
                <w:lang w:val="en-GB"/>
              </w:rPr>
              <w:t xml:space="preserve"> or in</w:t>
            </w:r>
            <w:r w:rsidRPr="001D18D5">
              <w:rPr>
                <w:lang w:val="en-GB"/>
              </w:rPr>
              <w:t>voicing in excess of revenue recognised.</w:t>
            </w:r>
          </w:p>
        </w:tc>
      </w:tr>
    </w:tbl>
    <w:p w:rsidR="00305DFD" w:rsidP="00305DFD" w14:paraId="025A00EC" w14:textId="3D9F14B0">
      <w:pPr>
        <w:pStyle w:val="Bodytext2"/>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3DCAEBB8" w14:textId="77777777" w:rsidTr="009952A9">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9952A9" w:rsidRPr="00450C5F" w:rsidP="009952A9" w14:paraId="547CCBCF" w14:textId="77777777">
            <w:pPr>
              <w:pStyle w:val="Heading13"/>
              <w:rPr>
                <w:lang w:val="en-GB"/>
              </w:rPr>
            </w:pPr>
            <w:r w:rsidRPr="001D18D5">
              <w:rPr>
                <w:lang w:val="en-GB"/>
              </w:rPr>
              <w:t>Accounting estimates and judgements</w:t>
            </w:r>
          </w:p>
          <w:p w:rsidR="009952A9" w:rsidRPr="009952A9" w:rsidP="00EC2295" w14:paraId="456B3B33" w14:textId="34107DE7">
            <w:pPr>
              <w:pStyle w:val="Bodytext2"/>
              <w:rPr>
                <w:lang w:val="en-GB"/>
              </w:rPr>
            </w:pPr>
            <w:r w:rsidRPr="00450C5F">
              <w:rPr>
                <w:lang w:val="en-GB"/>
              </w:rPr>
              <w:t>Estimated expected credit loss provision</w:t>
            </w:r>
            <w:r>
              <w:rPr>
                <w:lang w:val="en-GB"/>
              </w:rPr>
              <w:t>s are</w:t>
            </w:r>
            <w:r w:rsidRPr="00450C5F">
              <w:rPr>
                <w:lang w:val="en-GB"/>
              </w:rPr>
              <w:t xml:space="preserve"> based on management’s best judgement. Management judgement includes past years’ experience and</w:t>
            </w:r>
            <w:r>
              <w:rPr>
                <w:lang w:val="en-GB"/>
              </w:rPr>
              <w:t xml:space="preserve"> a</w:t>
            </w:r>
            <w:r w:rsidRPr="00450C5F">
              <w:rPr>
                <w:lang w:val="en-GB"/>
              </w:rPr>
              <w:t xml:space="preserve"> forward-looking understanding of</w:t>
            </w:r>
            <w:r>
              <w:rPr>
                <w:lang w:val="en-GB"/>
              </w:rPr>
              <w:t xml:space="preserve"> the</w:t>
            </w:r>
            <w:r w:rsidRPr="00450C5F">
              <w:rPr>
                <w:lang w:val="en-GB"/>
              </w:rPr>
              <w:t xml:space="preserve"> client</w:t>
            </w:r>
            <w:r>
              <w:rPr>
                <w:lang w:val="en-GB"/>
              </w:rPr>
              <w:t>’s</w:t>
            </w:r>
            <w:r w:rsidRPr="00450C5F">
              <w:rPr>
                <w:lang w:val="en-GB"/>
              </w:rPr>
              <w:t xml:space="preserve"> payment behaviour and economic situation.</w:t>
            </w:r>
            <w:r>
              <w:rPr>
                <w:lang w:val="en-GB"/>
              </w:rPr>
              <w:t xml:space="preserve"> In addition, a</w:t>
            </w:r>
            <w:r w:rsidRPr="00450C5F">
              <w:rPr>
                <w:lang w:val="en-GB"/>
              </w:rPr>
              <w:t xml:space="preserve">ssessing whether </w:t>
            </w:r>
            <w:r w:rsidRPr="00450C5F">
              <w:rPr>
                <w:lang w:val="en-GB"/>
              </w:rPr>
              <w:t>it is probable that the consider</w:t>
            </w:r>
            <w:r w:rsidRPr="00450C5F">
              <w:rPr>
                <w:lang w:val="en-GB"/>
              </w:rPr>
              <w:t>ation from contracts with customers will be collected requires judgement, and might impact the timing and amount of revenue recognition</w:t>
            </w:r>
            <w:r>
              <w:rPr>
                <w:lang w:val="en-GB"/>
              </w:rPr>
              <w:t>.</w:t>
            </w:r>
          </w:p>
        </w:tc>
      </w:tr>
    </w:tbl>
    <w:p w:rsidR="009952A9" w:rsidP="00305DFD" w14:paraId="1AE971A4" w14:textId="08B961EB">
      <w:pPr>
        <w:pStyle w:val="Bodytext2"/>
      </w:pPr>
    </w:p>
    <w:p w:rsidR="00305DFD" w:rsidRPr="00305DFD" w:rsidP="00305DFD" w14:paraId="51E21FE5" w14:textId="77777777">
      <w:pPr>
        <w:pStyle w:val="Heading13"/>
      </w:pPr>
      <w:r w:rsidRPr="00305DFD">
        <w:t>Contract assets and liabilities</w:t>
      </w:r>
    </w:p>
    <w:p w:rsidR="00305DFD" w:rsidRPr="00305DFD" w:rsidP="00305DFD" w14:paraId="6AEE7CF1" w14:textId="77777777">
      <w:pPr>
        <w:pStyle w:val="Bodytext2"/>
      </w:pPr>
    </w:p>
    <w:tbl>
      <w:tblPr>
        <w:tblStyle w:val="TableNormal"/>
        <w:tblCaption w:val="table_contract_balances"/>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receivables</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896</w:t>
            </w:r>
          </w:p>
        </w:tc>
        <w:tc>
          <w:tcPr>
            <w:tcW w:w="124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Contract assets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684</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Contract liabilities</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Advances received</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498</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Deferred income</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770</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524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Trade receivables and contract assets</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Non-current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Current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1,554</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1,311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Contract liabilities</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Non-current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37</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Current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1,231</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926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Revenue recognised in the financial period that was included in the contract liability on 1 January</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926</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880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Unsatisfied performance obligations, all revenue types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7,599</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6,748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of which remaining performance obligations from projects and contracts under execution</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4,763</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3,898</w:t>
            </w:r>
          </w:p>
        </w:tc>
      </w:tr>
    </w:tbl>
    <w:p w:rsidR="00305DFD" w:rsidRPr="00EF4467" w:rsidP="00EF4467" w14:paraId="4E6BA1B2" w14:textId="77777777">
      <w:pPr>
        <w:pStyle w:val="Bodytext2"/>
      </w:pPr>
    </w:p>
    <w:p w:rsidR="00A01D0B" w:rsidP="00305DFD" w14:paraId="524A83E4" w14:textId="7C781896">
      <w:pPr>
        <w:pStyle w:val="Bodytext2"/>
      </w:pPr>
      <w:r w:rsidRPr="00EF4467">
        <w:t xml:space="preserve">The contract assets and liabilities arise from </w:t>
      </w:r>
      <w:r w:rsidRPr="00EF4467">
        <w:t>long-term service agreements and projects recognised over time, such as gas solutions construction contracts, integrated solutions projects, ship design, and energy solutions turnkey contracts.</w:t>
      </w:r>
      <w:r w:rsidRPr="00EF4467" w:rsidR="00504D9B">
        <w:t xml:space="preserve"> The </w:t>
      </w:r>
      <w:r>
        <w:t>increase</w:t>
      </w:r>
      <w:r w:rsidRPr="00EF4467">
        <w:t xml:space="preserve"> in contract assets</w:t>
      </w:r>
      <w:r>
        <w:t xml:space="preserve"> as well as in deferred income</w:t>
      </w:r>
      <w:r w:rsidRPr="00EF4467">
        <w:t xml:space="preserve"> </w:t>
      </w:r>
      <w:r w:rsidRPr="00EF4467">
        <w:t>arises from usual business-related project variations mainly in Energy business</w:t>
      </w:r>
      <w:r>
        <w:t>.</w:t>
      </w:r>
    </w:p>
    <w:p w:rsidR="00E85C0B" w:rsidRPr="00305DFD" w:rsidP="00305DFD" w14:paraId="452308A3" w14:textId="77777777">
      <w:pPr>
        <w:pStyle w:val="Bodytext2"/>
      </w:pPr>
    </w:p>
    <w:p w:rsidR="00305DFD" w:rsidRPr="00305DFD" w:rsidP="00305DFD" w14:paraId="1732217D" w14:textId="33856ECF">
      <w:pPr>
        <w:pStyle w:val="Heading13"/>
      </w:pPr>
      <w:r w:rsidRPr="00305DFD">
        <w:t>Ag</w:t>
      </w:r>
      <w:r>
        <w:t>e</w:t>
      </w:r>
      <w:r w:rsidRPr="00305DFD">
        <w:t>ing of trade receivables</w:t>
      </w:r>
    </w:p>
    <w:p w:rsidR="00305DFD" w:rsidRPr="00305DFD" w:rsidP="00305DFD" w14:paraId="793B734D" w14:textId="77777777">
      <w:pPr>
        <w:pStyle w:val="Bodytext2"/>
      </w:pPr>
    </w:p>
    <w:tbl>
      <w:tblPr>
        <w:tblStyle w:val="TableNormal"/>
        <w:tblCaption w:val="table_aging_trade_receivables"/>
        <w:tblW w:w="7230" w:type="dxa"/>
        <w:tblLayout w:type="fixed"/>
        <w:tblLook w:val="0600"/>
      </w:tblPr>
      <w:tblGrid>
        <w:gridCol w:w="3030"/>
        <w:gridCol w:w="1050"/>
        <w:gridCol w:w="1050"/>
        <w:gridCol w:w="1050"/>
        <w:gridCol w:w="1050"/>
      </w:tblGrid>
      <w:tr>
        <w:tblPrEx>
          <w:tblW w:w="7230" w:type="dxa"/>
          <w:tblLayout w:type="fixed"/>
          <w:tblLook w:val="0600"/>
        </w:tblPrEx>
        <w:trPr>
          <w:trHeight w:hRule="exact" w:val="240"/>
        </w:trPr>
        <w:tc>
          <w:tcPr>
            <w:tcW w:w="303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5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50"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05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50"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05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Trade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receivables</w:t>
            </w:r>
          </w:p>
        </w:tc>
        <w:tc>
          <w:tcPr>
            <w:tcW w:w="105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of which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impaired</w:t>
            </w:r>
          </w:p>
        </w:tc>
        <w:tc>
          <w:tcPr>
            <w:tcW w:w="105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Trade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receivables</w:t>
            </w:r>
          </w:p>
        </w:tc>
        <w:tc>
          <w:tcPr>
            <w:tcW w:w="105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of which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impaired</w:t>
            </w: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Not past due</w:t>
            </w:r>
          </w:p>
        </w:tc>
        <w:tc>
          <w:tcPr>
            <w:tcW w:w="105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692</w:t>
            </w:r>
          </w:p>
        </w:tc>
        <w:tc>
          <w:tcPr>
            <w:tcW w:w="105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05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657</w:t>
            </w:r>
          </w:p>
        </w:tc>
        <w:tc>
          <w:tcPr>
            <w:tcW w:w="105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Past due 1–30 days</w:t>
            </w:r>
          </w:p>
        </w:tc>
        <w:tc>
          <w:tcPr>
            <w:tcW w:w="105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93</w:t>
            </w:r>
          </w:p>
        </w:tc>
        <w:tc>
          <w:tcPr>
            <w:tcW w:w="105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112</w:t>
            </w:r>
          </w:p>
        </w:tc>
        <w:tc>
          <w:tcPr>
            <w:tcW w:w="10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Past due 31–180 days</w:t>
            </w:r>
          </w:p>
        </w:tc>
        <w:tc>
          <w:tcPr>
            <w:tcW w:w="105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89</w:t>
            </w:r>
          </w:p>
        </w:tc>
        <w:tc>
          <w:tcPr>
            <w:tcW w:w="105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123</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Past due 181–360 days</w:t>
            </w:r>
          </w:p>
        </w:tc>
        <w:tc>
          <w:tcPr>
            <w:tcW w:w="105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c>
          <w:tcPr>
            <w:tcW w:w="105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Past due 1 year</w:t>
            </w:r>
          </w:p>
        </w:tc>
        <w:tc>
          <w:tcPr>
            <w:tcW w:w="105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w:t>
            </w:r>
          </w:p>
        </w:tc>
        <w:tc>
          <w:tcPr>
            <w:tcW w:w="105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75</w:t>
            </w:r>
          </w:p>
        </w:tc>
        <w:tc>
          <w:tcPr>
            <w:tcW w:w="105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93</w:t>
            </w:r>
          </w:p>
        </w:tc>
        <w:tc>
          <w:tcPr>
            <w:tcW w:w="105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56</w:t>
            </w: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05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975</w:t>
            </w:r>
          </w:p>
        </w:tc>
        <w:tc>
          <w:tcPr>
            <w:tcW w:w="105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w:t>
            </w:r>
          </w:p>
        </w:tc>
        <w:tc>
          <w:tcPr>
            <w:tcW w:w="105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1,014</w:t>
            </w:r>
          </w:p>
        </w:tc>
        <w:tc>
          <w:tcPr>
            <w:tcW w:w="105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r>
    </w:tbl>
    <w:p w:rsidR="00305DFD" w:rsidRPr="00305DFD" w:rsidP="00305DFD" w14:paraId="76BACC5A" w14:textId="77777777">
      <w:pPr>
        <w:pStyle w:val="Bodytext2"/>
      </w:pPr>
    </w:p>
    <w:p w:rsidR="00305DFD" w:rsidRPr="00305DFD" w:rsidP="00305DFD" w14:paraId="773E930D" w14:textId="6132F8BD">
      <w:pPr>
        <w:pStyle w:val="Bodytext2"/>
      </w:pPr>
      <w:r w:rsidRPr="00305DFD">
        <w:t>In 202</w:t>
      </w:r>
      <w:r>
        <w:t>1</w:t>
      </w:r>
      <w:r w:rsidRPr="00305DFD">
        <w:t xml:space="preserve">, the result impact of write-offs was EUR </w:t>
      </w:r>
      <w:r w:rsidR="00504D9B">
        <w:t>-</w:t>
      </w:r>
      <w:r>
        <w:t>6</w:t>
      </w:r>
      <w:r w:rsidRPr="00305DFD">
        <w:t xml:space="preserve"> million (-</w:t>
      </w:r>
      <w:r>
        <w:t>5</w:t>
      </w:r>
      <w:r w:rsidRPr="00305DFD">
        <w:t>).</w:t>
      </w:r>
    </w:p>
    <w:p w:rsidR="00305DFD" w:rsidRPr="00305DFD" w:rsidP="00305DFD" w14:paraId="369C4B64" w14:textId="77777777">
      <w:pPr>
        <w:pStyle w:val="Bodytext2"/>
      </w:pPr>
    </w:p>
    <w:p w:rsidR="00305DFD" w:rsidRPr="00305DFD" w:rsidP="00305DFD" w14:paraId="250503F0" w14:textId="77777777">
      <w:pPr>
        <w:pStyle w:val="Heading13"/>
      </w:pPr>
      <w:r w:rsidRPr="00305DFD">
        <w:t>Impairment</w:t>
      </w:r>
    </w:p>
    <w:p w:rsidR="00305DFD" w:rsidRPr="00305DFD" w:rsidP="00305DFD" w14:paraId="4C74C20A" w14:textId="77777777">
      <w:pPr>
        <w:pStyle w:val="Bodytext2"/>
      </w:pPr>
    </w:p>
    <w:tbl>
      <w:tblPr>
        <w:tblStyle w:val="TableNormal"/>
        <w:tblCaption w:val="table_impairment"/>
        <w:tblW w:w="7230" w:type="dxa"/>
        <w:tblLayout w:type="fixed"/>
        <w:tblLook w:val="0600"/>
      </w:tblPr>
      <w:tblGrid>
        <w:gridCol w:w="3030"/>
        <w:gridCol w:w="1050"/>
        <w:gridCol w:w="1050"/>
        <w:gridCol w:w="1050"/>
        <w:gridCol w:w="1050"/>
      </w:tblGrid>
      <w:tr>
        <w:tblPrEx>
          <w:tblW w:w="7230" w:type="dxa"/>
          <w:tblLayout w:type="fixed"/>
          <w:tblLook w:val="0600"/>
        </w:tblPrEx>
        <w:trPr>
          <w:trHeight w:hRule="exact" w:val="240"/>
        </w:trPr>
        <w:tc>
          <w:tcPr>
            <w:tcW w:w="30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05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05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05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05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130" w:type="dxa"/>
            <w:gridSpan w:val="3"/>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Impairment on 1 January</w:t>
            </w:r>
          </w:p>
        </w:tc>
        <w:tc>
          <w:tcPr>
            <w:tcW w:w="105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61</w:t>
            </w:r>
          </w:p>
        </w:tc>
        <w:tc>
          <w:tcPr>
            <w:tcW w:w="105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130" w:type="dxa"/>
            <w:gridSpan w:val="3"/>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Money received</w:t>
            </w:r>
          </w:p>
        </w:tc>
        <w:tc>
          <w:tcPr>
            <w:tcW w:w="105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130" w:type="dxa"/>
            <w:gridSpan w:val="3"/>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Impairment during the period</w:t>
            </w:r>
          </w:p>
        </w:tc>
        <w:tc>
          <w:tcPr>
            <w:tcW w:w="105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w:t>
            </w: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130" w:type="dxa"/>
            <w:gridSpan w:val="3"/>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Write-off during the period</w:t>
            </w:r>
          </w:p>
        </w:tc>
        <w:tc>
          <w:tcPr>
            <w:tcW w:w="105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05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130" w:type="dxa"/>
            <w:gridSpan w:val="3"/>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Impairment on 31 December</w:t>
            </w:r>
          </w:p>
        </w:tc>
        <w:tc>
          <w:tcPr>
            <w:tcW w:w="105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w:t>
            </w:r>
          </w:p>
        </w:tc>
        <w:tc>
          <w:tcPr>
            <w:tcW w:w="105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r>
    </w:tbl>
    <w:p w:rsidR="00305DFD" w:rsidRPr="00305DFD" w:rsidP="00305DFD" w14:paraId="07B12ECF" w14:textId="77777777">
      <w:pPr>
        <w:pStyle w:val="Bodytext2"/>
      </w:pPr>
    </w:p>
    <w:p w:rsidR="00305DFD" w:rsidRPr="006A4F26" w:rsidP="00305DFD" w14:paraId="146B0F22" w14:textId="710FA2AB">
      <w:pPr>
        <w:pStyle w:val="Bodytext2"/>
        <w:rPr>
          <w:sz w:val="2"/>
          <w:szCs w:val="2"/>
        </w:rPr>
      </w:pPr>
      <w:r w:rsidRPr="00305DFD">
        <w:t>The Group sells trade receivables in an amount that is currently not significant compared to the trade receivables as a whole. Sold receivables have been de-recognised in the statement of financial position.</w:t>
      </w:r>
      <w:r>
        <w:br w:type="column"/>
      </w:r>
    </w:p>
    <w:p w:rsidR="007574FD" w:rsidP="007574FD" w14:paraId="6E034313" w14:textId="77777777">
      <w:pPr>
        <w:pStyle w:val="Heading12"/>
      </w:pPr>
      <w:bookmarkStart w:id="1475" w:name="RG_MARKER_7330"/>
      <w:r>
        <w:t>4.3. OTHER RECEIVABLES</w:t>
      </w:r>
      <w:bookmarkEnd w:id="1475"/>
    </w:p>
    <w:tbl>
      <w:tblPr>
        <w:tblStyle w:val="TableGrid"/>
        <w:tblW w:w="7371" w:type="dxa"/>
        <w:tblLook w:val="04A0"/>
      </w:tblPr>
      <w:tblGrid>
        <w:gridCol w:w="7371"/>
      </w:tblGrid>
      <w:tr w14:paraId="6C0971C8" w14:textId="77777777" w:rsidTr="007574FD">
        <w:tblPrEx>
          <w:tblW w:w="7371" w:type="dxa"/>
          <w:tblLook w:val="04A0"/>
        </w:tblPrEx>
        <w:tc>
          <w:tcPr>
            <w:tcW w:w="6683" w:type="dxa"/>
            <w:tcBorders>
              <w:top w:val="nil"/>
              <w:left w:val="nil"/>
              <w:bottom w:val="nil"/>
              <w:right w:val="nil"/>
            </w:tcBorders>
            <w:shd w:val="clear" w:color="auto" w:fill="B6C8D1"/>
            <w:hideMark/>
          </w:tcPr>
          <w:p w:rsidR="007574FD" w:rsidRPr="003802C7" w:rsidP="007574FD" w14:paraId="0E3112A9" w14:textId="77777777">
            <w:pPr>
              <w:pStyle w:val="Heading13"/>
              <w:rPr>
                <w:lang w:val="en-GB"/>
              </w:rPr>
            </w:pPr>
            <w:r w:rsidRPr="002478C9">
              <w:rPr>
                <w:lang w:val="en-GB"/>
              </w:rPr>
              <w:t>Accounting principles</w:t>
            </w:r>
          </w:p>
          <w:p w:rsidR="007574FD" w:rsidRPr="003802C7" w:rsidP="007574FD" w14:paraId="0BA5A075" w14:textId="77777777">
            <w:pPr>
              <w:pStyle w:val="Bodytext2"/>
              <w:rPr>
                <w:lang w:val="en-GB"/>
              </w:rPr>
            </w:pPr>
            <w:r w:rsidRPr="003802C7">
              <w:rPr>
                <w:lang w:val="en-GB"/>
              </w:rPr>
              <w:t>Other receivables are recognised at amortised cost.</w:t>
            </w:r>
          </w:p>
        </w:tc>
      </w:tr>
    </w:tbl>
    <w:p w:rsidR="007574FD" w:rsidRPr="007574FD" w:rsidP="007574FD" w14:paraId="415EF839" w14:textId="77777777">
      <w:pPr>
        <w:pStyle w:val="Bodytext2"/>
      </w:pPr>
    </w:p>
    <w:tbl>
      <w:tblPr>
        <w:tblStyle w:val="TableNormal"/>
        <w:tblCaption w:val="table_other_receivables"/>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w:t>
            </w:r>
          </w:p>
        </w:tc>
        <w:tc>
          <w:tcPr>
            <w:tcW w:w="124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and other financial items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Insurance receivables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Rental accruals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Prepaid expenses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accruals</w:t>
            </w:r>
          </w:p>
        </w:tc>
        <w:tc>
          <w:tcPr>
            <w:tcW w:w="12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34</w:t>
            </w:r>
          </w:p>
        </w:tc>
        <w:tc>
          <w:tcPr>
            <w:tcW w:w="1245" w:type="dxa"/>
            <w:tcBorders>
              <w:top w:val="nil"/>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Loan receivables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Defined benefit plans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VAT receivables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134</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57</w:t>
            </w:r>
          </w:p>
        </w:tc>
        <w:tc>
          <w:tcPr>
            <w:tcW w:w="124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263</w:t>
            </w:r>
          </w:p>
        </w:tc>
        <w:tc>
          <w:tcPr>
            <w:tcW w:w="124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Non-current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246</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258</w:t>
            </w:r>
          </w:p>
        </w:tc>
      </w:tr>
    </w:tbl>
    <w:p w:rsidR="00533662" w:rsidP="007574FD" w14:paraId="7E00C627" w14:textId="7EBEC7B7">
      <w:pPr>
        <w:pStyle w:val="Bodytext2"/>
      </w:pPr>
    </w:p>
    <w:p w:rsidR="00533662" w:rsidRPr="007574FD" w:rsidP="00533662" w14:paraId="7800B9ED" w14:textId="3D9EF7AF">
      <w:pPr>
        <w:pStyle w:val="Bodytext2"/>
      </w:pPr>
      <w:r w:rsidRPr="007574FD">
        <w:t xml:space="preserve">* </w:t>
      </w:r>
      <w:r>
        <w:t xml:space="preserve">Other receivables </w:t>
      </w:r>
      <w:r>
        <w:t>include</w:t>
      </w:r>
      <w:r w:rsidR="00E90B85">
        <w:t>s</w:t>
      </w:r>
      <w:r>
        <w:t xml:space="preserve"> payroll related tax receivables of EUR 7 million (7</w:t>
      </w:r>
      <w:r>
        <w:t>) in Brazil</w:t>
      </w:r>
      <w:r w:rsidR="00E90B85">
        <w:t>,</w:t>
      </w:r>
      <w:r>
        <w:t xml:space="preserve"> which</w:t>
      </w:r>
      <w:r w:rsidR="00E90B85">
        <w:t xml:space="preserve"> </w:t>
      </w:r>
      <w:r>
        <w:t>are not likely to</w:t>
      </w:r>
      <w:r w:rsidR="00E90B85">
        <w:t xml:space="preserve"> be </w:t>
      </w:r>
      <w:r>
        <w:t>utilised</w:t>
      </w:r>
      <w:r>
        <w:t xml:space="preserve"> </w:t>
      </w:r>
      <w:r>
        <w:t xml:space="preserve">within a </w:t>
      </w:r>
      <w:r w:rsidRPr="00F81389">
        <w:t>year.</w:t>
      </w:r>
    </w:p>
    <w:p/>
    <w:p w:rsidR="00304BE0" w:rsidP="00304BE0" w14:paraId="6ED8BCA6" w14:textId="77777777">
      <w:pPr>
        <w:pStyle w:val="Heading12"/>
      </w:pPr>
      <w:bookmarkStart w:id="1476" w:name="RG_MARKER_7331"/>
      <w:r>
        <w:t>4.4. TRADE PAYABLES AND OTHER LIABILITIES</w:t>
      </w:r>
      <w:bookmarkEnd w:id="1476"/>
    </w:p>
    <w:tbl>
      <w:tblPr>
        <w:tblStyle w:val="TableGrid"/>
        <w:tblW w:w="7371" w:type="dxa"/>
        <w:tblLook w:val="04A0"/>
      </w:tblPr>
      <w:tblGrid>
        <w:gridCol w:w="7371"/>
      </w:tblGrid>
      <w:tr w14:paraId="021F33A0" w14:textId="77777777" w:rsidTr="00304BE0">
        <w:tblPrEx>
          <w:tblW w:w="7371" w:type="dxa"/>
          <w:tblLook w:val="04A0"/>
        </w:tblPrEx>
        <w:tc>
          <w:tcPr>
            <w:tcW w:w="6683" w:type="dxa"/>
            <w:tcBorders>
              <w:top w:val="nil"/>
              <w:left w:val="nil"/>
              <w:bottom w:val="nil"/>
              <w:right w:val="nil"/>
            </w:tcBorders>
            <w:shd w:val="clear" w:color="auto" w:fill="B6C8D1"/>
            <w:hideMark/>
          </w:tcPr>
          <w:p w:rsidR="00304BE0" w:rsidRPr="00984441" w:rsidP="00304BE0" w14:paraId="0BCA1F9F" w14:textId="77777777">
            <w:pPr>
              <w:pStyle w:val="Heading13"/>
              <w:rPr>
                <w:lang w:val="en-GB"/>
              </w:rPr>
            </w:pPr>
            <w:r w:rsidRPr="00984441">
              <w:rPr>
                <w:lang w:val="en-GB"/>
              </w:rPr>
              <w:t>Accounting principles</w:t>
            </w:r>
          </w:p>
          <w:p w:rsidR="00304BE0" w:rsidRPr="00984441" w:rsidP="00304BE0" w14:paraId="642BDF37" w14:textId="77777777">
            <w:pPr>
              <w:pStyle w:val="Bodytext2"/>
              <w:rPr>
                <w:lang w:val="en-GB"/>
              </w:rPr>
            </w:pPr>
            <w:r w:rsidRPr="00984441">
              <w:rPr>
                <w:lang w:val="en-GB"/>
              </w:rPr>
              <w:t>Trade payables and other liabilities are initially recognised at fair value and subsequently measured at amortised cost.</w:t>
            </w:r>
          </w:p>
        </w:tc>
      </w:tr>
    </w:tbl>
    <w:p w:rsidR="00304BE0" w:rsidRPr="00304BE0" w:rsidP="00304BE0" w14:paraId="020C3128" w14:textId="77777777">
      <w:pPr>
        <w:pStyle w:val="Bodytext2"/>
      </w:pPr>
    </w:p>
    <w:tbl>
      <w:tblPr>
        <w:tblStyle w:val="TableNormal"/>
        <w:tblCaption w:val="table_other_payables"/>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payables*</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714</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Accrued expenses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313</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315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Personnel costs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179</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and other financial items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accruals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34</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VAT liabilities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54</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68</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1,390</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1,076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Non-current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1,390</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1,075</w:t>
            </w:r>
          </w:p>
        </w:tc>
      </w:tr>
    </w:tbl>
    <w:p w:rsidR="006773DB" w:rsidP="00304BE0" w14:paraId="187B91F7" w14:textId="579B7A9C">
      <w:pPr>
        <w:pStyle w:val="Bodytext2"/>
      </w:pPr>
    </w:p>
    <w:p w:rsidR="006773DB" w:rsidRPr="006773DB" w:rsidP="006773DB" w14:paraId="02BB9043" w14:textId="023BD9E3">
      <w:pPr>
        <w:pStyle w:val="Bodytext2"/>
      </w:pPr>
      <w:r w:rsidRPr="006773DB">
        <w:t xml:space="preserve">* </w:t>
      </w:r>
      <w:r w:rsidRPr="006773DB">
        <w:t>EUR 299 million</w:t>
      </w:r>
      <w:r>
        <w:t xml:space="preserve"> (86)</w:t>
      </w:r>
      <w:r w:rsidRPr="006773DB">
        <w:t xml:space="preserve"> of the </w:t>
      </w:r>
      <w:r>
        <w:t>t</w:t>
      </w:r>
      <w:r w:rsidRPr="006773DB">
        <w:t>rade payables were eligible for Supply Chain Finance programmes provided by banks to Wärtsilä’s suppliers.</w:t>
      </w:r>
    </w:p>
    <w:p/>
    <w:p w:rsidR="00B3292E" w:rsidRPr="008215C0" w:rsidP="00B3292E" w14:paraId="73A920C5" w14:textId="77777777">
      <w:pPr>
        <w:pStyle w:val="Heading12"/>
      </w:pPr>
      <w:bookmarkStart w:id="1477" w:name="RG_MARKER_7332"/>
      <w:r w:rsidRPr="008215C0">
        <w:t>4.5. PROVISIONS</w:t>
      </w:r>
      <w:bookmarkEnd w:id="1477"/>
    </w:p>
    <w:tbl>
      <w:tblPr>
        <w:tblStyle w:val="TableGrid"/>
        <w:tblW w:w="7371" w:type="dxa"/>
        <w:tblLook w:val="04A0"/>
      </w:tblPr>
      <w:tblGrid>
        <w:gridCol w:w="7371"/>
      </w:tblGrid>
      <w:tr w14:paraId="3AD7F907" w14:textId="77777777" w:rsidTr="00B3292E">
        <w:tblPrEx>
          <w:tblW w:w="7371" w:type="dxa"/>
          <w:tblLook w:val="04A0"/>
        </w:tblPrEx>
        <w:tc>
          <w:tcPr>
            <w:tcW w:w="7371" w:type="dxa"/>
            <w:tcBorders>
              <w:top w:val="nil"/>
              <w:left w:val="nil"/>
              <w:bottom w:val="nil"/>
              <w:right w:val="nil"/>
            </w:tcBorders>
            <w:shd w:val="clear" w:color="auto" w:fill="B6C8D1"/>
          </w:tcPr>
          <w:p w:rsidR="00B3292E" w:rsidRPr="008215C0" w:rsidP="00B3292E" w14:paraId="3A5B100A" w14:textId="77777777">
            <w:pPr>
              <w:pStyle w:val="Heading13"/>
              <w:rPr>
                <w:lang w:val="en-GB"/>
              </w:rPr>
            </w:pPr>
            <w:r w:rsidRPr="008215C0">
              <w:rPr>
                <w:lang w:val="en-GB"/>
              </w:rPr>
              <w:t>Accounting principles</w:t>
            </w:r>
          </w:p>
          <w:p w:rsidR="00B3292E" w:rsidRPr="008215C0" w:rsidP="00B3292E" w14:paraId="52832DD1" w14:textId="1D8A3024">
            <w:pPr>
              <w:pStyle w:val="Bodytext2"/>
              <w:rPr>
                <w:lang w:val="en-GB"/>
              </w:rPr>
            </w:pPr>
            <w:r w:rsidRPr="008215C0">
              <w:rPr>
                <w:lang w:val="en-GB"/>
              </w:rPr>
              <w:t xml:space="preserve">Provisions are recognised in the statement of financial position when the Group has a present legal or constructive obligation </w:t>
            </w:r>
            <w:r w:rsidRPr="008215C0">
              <w:rPr>
                <w:lang w:val="en-GB"/>
              </w:rPr>
              <w:t>as a result of</w:t>
            </w:r>
            <w:r w:rsidRPr="008215C0">
              <w:rPr>
                <w:lang w:val="en-GB"/>
              </w:rPr>
              <w:t xml:space="preserve"> a past event, and it is probable that an outflow of economic </w:t>
            </w:r>
            <w:r w:rsidRPr="008215C0">
              <w:rPr>
                <w:lang w:val="en-GB"/>
              </w:rPr>
              <w:t>benefits will be required to settle the obligation and a reliable estimate can be made of the amount of the obligation. Provisions can arise, for example, from warranties, environmental risks, litigation, foreseeable losses on projects, and restructuring c</w:t>
            </w:r>
            <w:r w:rsidRPr="008215C0">
              <w:rPr>
                <w:lang w:val="en-GB"/>
              </w:rPr>
              <w:t xml:space="preserve">osts. The amount to be recognised as provisions corresponds to the management’s best estimate of the expenses that will be necessary to meet the existing obligation at the end of the </w:t>
            </w:r>
            <w:r>
              <w:rPr>
                <w:lang w:val="en-GB"/>
              </w:rPr>
              <w:t>reporting</w:t>
            </w:r>
            <w:r w:rsidRPr="008215C0">
              <w:rPr>
                <w:lang w:val="en-GB"/>
              </w:rPr>
              <w:t xml:space="preserve"> period.</w:t>
            </w:r>
          </w:p>
          <w:p w:rsidR="00B3292E" w:rsidRPr="008215C0" w:rsidP="00B3292E" w14:paraId="0D819122" w14:textId="77777777">
            <w:pPr>
              <w:pStyle w:val="Bodytext2"/>
              <w:rPr>
                <w:lang w:val="en-GB"/>
              </w:rPr>
            </w:pPr>
          </w:p>
          <w:p w:rsidR="00B3292E" w:rsidRPr="008215C0" w:rsidP="00B3292E" w14:paraId="3EA96F89" w14:textId="13EC73A1">
            <w:pPr>
              <w:pStyle w:val="Bodytext2"/>
              <w:rPr>
                <w:lang w:val="en-GB"/>
              </w:rPr>
            </w:pPr>
            <w:r w:rsidRPr="008215C0">
              <w:rPr>
                <w:lang w:val="en-GB"/>
              </w:rPr>
              <w:t xml:space="preserve">Warranty provisions include estimated future warranty </w:t>
            </w:r>
            <w:r w:rsidRPr="008215C0">
              <w:rPr>
                <w:lang w:val="en-GB"/>
              </w:rPr>
              <w:t>costs relating to products delivered. The amount of future warranty costs is based on accumulated historical experience. Typically</w:t>
            </w:r>
            <w:r>
              <w:rPr>
                <w:lang w:val="en-GB"/>
              </w:rPr>
              <w:t>,</w:t>
            </w:r>
            <w:r w:rsidRPr="008215C0">
              <w:rPr>
                <w:lang w:val="en-GB"/>
              </w:rPr>
              <w:t xml:space="preserve"> the standard warranty period is one year from the delivery onwards.</w:t>
            </w:r>
          </w:p>
          <w:p w:rsidR="00B3292E" w:rsidRPr="008215C0" w:rsidP="00B3292E" w14:paraId="0528BEBA" w14:textId="77777777">
            <w:pPr>
              <w:pStyle w:val="Bodytext2"/>
              <w:rPr>
                <w:lang w:val="en-GB"/>
              </w:rPr>
            </w:pPr>
          </w:p>
          <w:p w:rsidR="00B3292E" w:rsidRPr="008215C0" w:rsidP="00B3292E" w14:paraId="0729A4E3" w14:textId="0E4ECF47">
            <w:pPr>
              <w:pStyle w:val="Bodytext2"/>
              <w:rPr>
                <w:lang w:val="en-GB"/>
              </w:rPr>
            </w:pPr>
            <w:r w:rsidRPr="008215C0">
              <w:rPr>
                <w:lang w:val="en-GB"/>
              </w:rPr>
              <w:t>Provisions for restructuring costs are made once the res</w:t>
            </w:r>
            <w:r w:rsidRPr="008215C0">
              <w:rPr>
                <w:lang w:val="en-GB"/>
              </w:rPr>
              <w:t>tructuring plan has been approved and the implementation started, or the personnel concerned have been informed of the terms. The plan must indicate which activities and personnel will be affected</w:t>
            </w:r>
            <w:r>
              <w:rPr>
                <w:lang w:val="en-GB"/>
              </w:rPr>
              <w:t>, as well as</w:t>
            </w:r>
            <w:r w:rsidRPr="008215C0">
              <w:rPr>
                <w:lang w:val="en-GB"/>
              </w:rPr>
              <w:t xml:space="preserve"> the timing and cost of implementation.</w:t>
            </w:r>
          </w:p>
          <w:p w:rsidR="00B3292E" w:rsidRPr="008215C0" w:rsidP="00B3292E" w14:paraId="63A75E99" w14:textId="77777777">
            <w:pPr>
              <w:pStyle w:val="Bodytext2"/>
              <w:rPr>
                <w:lang w:val="en-GB"/>
              </w:rPr>
            </w:pPr>
          </w:p>
          <w:p w:rsidR="00B3292E" w:rsidRPr="0060070C" w:rsidP="00B3292E" w14:paraId="0C41293E" w14:textId="1B4183EA">
            <w:pPr>
              <w:pStyle w:val="Bodytext2"/>
              <w:rPr>
                <w:lang w:val="en-GB"/>
              </w:rPr>
            </w:pPr>
            <w:r w:rsidRPr="008215C0">
              <w:rPr>
                <w:lang w:val="en-GB"/>
              </w:rPr>
              <w:t>The Gro</w:t>
            </w:r>
            <w:r w:rsidRPr="008215C0">
              <w:rPr>
                <w:lang w:val="en-GB"/>
              </w:rPr>
              <w:t xml:space="preserve">up is a defendant in </w:t>
            </w:r>
            <w:r w:rsidRPr="008215C0">
              <w:rPr>
                <w:lang w:val="en-GB"/>
              </w:rPr>
              <w:t>a number of</w:t>
            </w:r>
            <w:r w:rsidRPr="008215C0">
              <w:rPr>
                <w:lang w:val="en-GB"/>
              </w:rPr>
              <w:t xml:space="preserve"> legal cases which arise out of, or are incidental to, the ordinary course of its business. These lawsuits concern mainly issues</w:t>
            </w:r>
            <w:r>
              <w:rPr>
                <w:lang w:val="en-GB"/>
              </w:rPr>
              <w:t>,</w:t>
            </w:r>
            <w:r w:rsidRPr="008215C0">
              <w:rPr>
                <w:lang w:val="en-GB"/>
              </w:rPr>
              <w:t xml:space="preserve"> such as contractual and other liability, labour relations, property damage and regulatory matt</w:t>
            </w:r>
            <w:r w:rsidRPr="008215C0">
              <w:rPr>
                <w:lang w:val="en-GB"/>
              </w:rPr>
              <w:t>ers. The Group receives from time to time claims of different amounts and with varying degrees of substantiation. It is the Group’s policy to provide for amounts related to the claims</w:t>
            </w:r>
            <w:r>
              <w:rPr>
                <w:lang w:val="en-GB"/>
              </w:rPr>
              <w:t>,</w:t>
            </w:r>
            <w:r w:rsidRPr="008215C0">
              <w:rPr>
                <w:lang w:val="en-GB"/>
              </w:rPr>
              <w:t xml:space="preserve"> as well as for the litigation and arbitration matters when an unfavoura</w:t>
            </w:r>
            <w:r w:rsidRPr="008215C0">
              <w:rPr>
                <w:lang w:val="en-GB"/>
              </w:rPr>
              <w:t xml:space="preserve">ble outcome is </w:t>
            </w:r>
            <w:r w:rsidRPr="008215C0">
              <w:rPr>
                <w:lang w:val="en-GB"/>
              </w:rPr>
              <w:t>probable</w:t>
            </w:r>
            <w:r w:rsidRPr="008215C0">
              <w:rPr>
                <w:lang w:val="en-GB"/>
              </w:rPr>
              <w:t xml:space="preserve"> and the amount of loss can be reasonably estimated.</w:t>
            </w:r>
          </w:p>
        </w:tc>
      </w:tr>
    </w:tbl>
    <w:p w:rsidR="007E331D" w:rsidP="00B3292E" w14:paraId="6ADEDAE7" w14:textId="0280C376">
      <w:pPr>
        <w:pStyle w:val="Bodytext2"/>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1FDCB237" w14:textId="77777777" w:rsidTr="007E331D">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7E331D" w:rsidRPr="008215C0" w:rsidP="007E331D" w14:paraId="30D7C650" w14:textId="77777777">
            <w:pPr>
              <w:pStyle w:val="Heading13"/>
              <w:rPr>
                <w:lang w:val="en-GB"/>
              </w:rPr>
            </w:pPr>
            <w:r w:rsidRPr="008215C0">
              <w:rPr>
                <w:lang w:val="en-GB"/>
              </w:rPr>
              <w:t>Accounting estimates and judgements</w:t>
            </w:r>
          </w:p>
          <w:p w:rsidR="007E331D" w:rsidP="007E331D" w14:paraId="30ED6F89" w14:textId="60DFB6BD">
            <w:pPr>
              <w:pStyle w:val="Bodytext2"/>
            </w:pPr>
            <w:r w:rsidRPr="008215C0">
              <w:rPr>
                <w:lang w:val="en-GB"/>
              </w:rPr>
              <w:t xml:space="preserve">The Group is a defendant in </w:t>
            </w:r>
            <w:r w:rsidRPr="008215C0">
              <w:rPr>
                <w:lang w:val="en-GB"/>
              </w:rPr>
              <w:t>a number of</w:t>
            </w:r>
            <w:r w:rsidRPr="008215C0">
              <w:rPr>
                <w:lang w:val="en-GB"/>
              </w:rPr>
              <w:t xml:space="preserve"> legal cases arising from its business operations. A provision for a court case is recognised when an u</w:t>
            </w:r>
            <w:r w:rsidRPr="008215C0">
              <w:rPr>
                <w:lang w:val="en-GB"/>
              </w:rPr>
              <w:t xml:space="preserve">nfavourable result is probable, and the loss can be determined with reasonable certainty. </w:t>
            </w:r>
            <w:r w:rsidRPr="008215C0">
              <w:rPr>
                <w:lang w:val="en-GB"/>
              </w:rPr>
              <w:t>The final result</w:t>
            </w:r>
            <w:r w:rsidRPr="008215C0">
              <w:rPr>
                <w:lang w:val="en-GB"/>
              </w:rPr>
              <w:t xml:space="preserve"> can differ from these estimates.</w:t>
            </w:r>
          </w:p>
        </w:tc>
      </w:tr>
    </w:tbl>
    <w:p w:rsidR="00B3292E" w:rsidRPr="008B4EC6" w:rsidP="00B3292E" w14:paraId="0A7962A7" w14:textId="64033A42">
      <w:pPr>
        <w:pStyle w:val="Bodytext2"/>
        <w:rPr>
          <w:sz w:val="2"/>
          <w:szCs w:val="2"/>
        </w:rPr>
      </w:pPr>
      <w:r>
        <w:br w:type="column"/>
      </w:r>
    </w:p>
    <w:p w:rsidR="00B3292E" w:rsidRPr="00B3292E" w:rsidP="00B3292E" w14:paraId="6DCA63BA" w14:textId="7B1999AE">
      <w:pPr>
        <w:pStyle w:val="Heading13"/>
      </w:pPr>
      <w:r w:rsidRPr="00B3292E">
        <w:t>202</w:t>
      </w:r>
      <w:r>
        <w:t>1</w:t>
      </w:r>
    </w:p>
    <w:p w:rsidR="00B3292E" w:rsidRPr="00B3292E" w:rsidP="00B3292E" w14:paraId="0860C638" w14:textId="77777777">
      <w:pPr>
        <w:pStyle w:val="Bodytext2"/>
      </w:pPr>
    </w:p>
    <w:tbl>
      <w:tblPr>
        <w:tblStyle w:val="TableNormal"/>
        <w:tblCaption w:val="table_45_provisions_cur"/>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Litigation</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Warranties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Onerous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contracts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Restruc-</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turing</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Other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provisions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Provisions on 1 January 2021</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174</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80</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324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exchange rates</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nil"/>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Additions</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43</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76</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41</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Used provisions</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-58</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Released provisions</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Provisions on 31 December 2021</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162</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65</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70</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Non-current</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241</w:t>
            </w:r>
          </w:p>
        </w:tc>
      </w:tr>
    </w:tbl>
    <w:p w:rsidR="00B3292E" w:rsidP="00B3292E" w14:paraId="5163B23D" w14:textId="3B0B92AC">
      <w:pPr>
        <w:pStyle w:val="Bodytext2"/>
      </w:pPr>
    </w:p>
    <w:p w:rsidR="006C36F0" w:rsidRPr="0060070C" w:rsidP="006C36F0" w14:paraId="0A171470" w14:textId="5D47483E">
      <w:pPr>
        <w:pStyle w:val="Bodytext2"/>
        <w:rPr>
          <w:lang w:val="en-GB"/>
        </w:rPr>
      </w:pPr>
      <w:r w:rsidRPr="008215C0">
        <w:rPr>
          <w:lang w:val="en-GB"/>
        </w:rPr>
        <w:t xml:space="preserve">There is currently one unusually sizeable claim, but it is highly </w:t>
      </w:r>
      <w:r w:rsidRPr="008215C0">
        <w:rPr>
          <w:lang w:val="en-GB"/>
        </w:rPr>
        <w:t>unlikely that the outcome of it w</w:t>
      </w:r>
      <w:r>
        <w:rPr>
          <w:lang w:val="en-GB"/>
        </w:rPr>
        <w:t>ill</w:t>
      </w:r>
      <w:r w:rsidRPr="008215C0">
        <w:rPr>
          <w:lang w:val="en-GB"/>
        </w:rPr>
        <w:t xml:space="preserve"> be unfavourable. The claim is treated as a contingent liability.</w:t>
      </w:r>
    </w:p>
    <w:p w:rsidR="00B3292E" w:rsidRPr="00B3292E" w:rsidP="00B3292E" w14:paraId="78B9B46F" w14:textId="77777777">
      <w:pPr>
        <w:pStyle w:val="Bodytext2"/>
      </w:pPr>
    </w:p>
    <w:p w:rsidR="00B3292E" w:rsidRPr="00B3292E" w:rsidP="00B3292E" w14:paraId="074C0435" w14:textId="4838E6C3">
      <w:pPr>
        <w:pStyle w:val="Heading13"/>
      </w:pPr>
      <w:r w:rsidRPr="00B3292E">
        <w:t>20</w:t>
      </w:r>
      <w:r>
        <w:t>20</w:t>
      </w:r>
    </w:p>
    <w:p w:rsidR="00B3292E" w:rsidRPr="00B3292E" w:rsidP="00B3292E" w14:paraId="0A4A1EBA" w14:textId="77777777">
      <w:pPr>
        <w:pStyle w:val="Bodytext2"/>
      </w:pPr>
    </w:p>
    <w:tbl>
      <w:tblPr>
        <w:tblStyle w:val="TableNormal"/>
        <w:tblCaption w:val="table_45_provisions_pre"/>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Litigation</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Warranties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Onerous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contracts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Restruc-</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turing</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Other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provisions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Provisions on 1 January 2020</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174</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89</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exchange rates</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Disposals</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Additions</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87</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Used provisions</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-87</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-148</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Released provisions</w:t>
            </w: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Provisions on 31 December 2020</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174</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80</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50</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Non-current</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269</w:t>
            </w:r>
          </w:p>
        </w:tc>
      </w:tr>
    </w:tbl>
    <w:p/>
    <w:p w:rsidR="00167B0C" w:rsidP="00167B0C" w14:paraId="5CBA4FC4" w14:textId="77777777">
      <w:pPr>
        <w:pStyle w:val="Heading12"/>
      </w:pPr>
      <w:bookmarkStart w:id="1478" w:name="RG_MARKER_7333"/>
      <w:r>
        <w:t>4.6. DEFERRED TAXES</w:t>
      </w:r>
      <w:bookmarkEnd w:id="1478"/>
    </w:p>
    <w:tbl>
      <w:tblPr>
        <w:tblStyle w:val="TableGrid"/>
        <w:tblW w:w="7371" w:type="dxa"/>
        <w:tblLook w:val="04A0"/>
      </w:tblPr>
      <w:tblGrid>
        <w:gridCol w:w="7371"/>
      </w:tblGrid>
      <w:tr w14:paraId="2881C8FD" w14:textId="77777777" w:rsidTr="000B7617">
        <w:tblPrEx>
          <w:tblW w:w="7371" w:type="dxa"/>
          <w:tblLook w:val="04A0"/>
        </w:tblPrEx>
        <w:tc>
          <w:tcPr>
            <w:tcW w:w="7371" w:type="dxa"/>
            <w:tcBorders>
              <w:top w:val="nil"/>
              <w:left w:val="nil"/>
              <w:bottom w:val="nil"/>
              <w:right w:val="nil"/>
            </w:tcBorders>
            <w:shd w:val="clear" w:color="auto" w:fill="B6C8D1"/>
          </w:tcPr>
          <w:p w:rsidR="00167B0C" w:rsidRPr="00583982" w:rsidP="00167B0C" w14:paraId="7292EE36" w14:textId="77777777">
            <w:pPr>
              <w:pStyle w:val="Heading13"/>
              <w:rPr>
                <w:lang w:val="en-GB"/>
              </w:rPr>
            </w:pPr>
            <w:r w:rsidRPr="00583982">
              <w:rPr>
                <w:lang w:val="en-GB"/>
              </w:rPr>
              <w:t>Accounting principles</w:t>
            </w:r>
          </w:p>
          <w:p w:rsidR="00167B0C" w:rsidRPr="00583982" w:rsidP="00167B0C" w14:paraId="09C98FEC" w14:textId="00BF6F9A">
            <w:pPr>
              <w:pStyle w:val="Bodytext2"/>
              <w:rPr>
                <w:lang w:val="en-GB"/>
              </w:rPr>
            </w:pPr>
            <w:r w:rsidRPr="00583982">
              <w:rPr>
                <w:lang w:val="en-GB"/>
              </w:rPr>
              <w:t>Deferred tax liabilities and assets are calculated on temporary differences arising from the difference between the tax basis of assets and liabilities</w:t>
            </w:r>
            <w:r>
              <w:rPr>
                <w:lang w:val="en-GB"/>
              </w:rPr>
              <w:t>,</w:t>
            </w:r>
            <w:r w:rsidRPr="00583982">
              <w:rPr>
                <w:lang w:val="en-GB"/>
              </w:rPr>
              <w:t xml:space="preserve"> and the carrying values</w:t>
            </w:r>
            <w:r w:rsidRPr="00583982">
              <w:rPr>
                <w:lang w:val="en-GB"/>
              </w:rPr>
              <w:t xml:space="preserve"> using the enacted or substantially enacted tax rates at the end of the </w:t>
            </w:r>
            <w:r>
              <w:rPr>
                <w:lang w:val="en-GB"/>
              </w:rPr>
              <w:t>reporting</w:t>
            </w:r>
            <w:r w:rsidRPr="00583982">
              <w:rPr>
                <w:lang w:val="en-GB"/>
              </w:rPr>
              <w:t xml:space="preserve"> period. The statement of financial position includes deferred tax liabilities in their entirety and deferred tax assets at their estimated probable amount.</w:t>
            </w:r>
          </w:p>
          <w:p w:rsidR="00167B0C" w:rsidRPr="00583982" w:rsidP="00167B0C" w14:paraId="14A2FF6B" w14:textId="77777777">
            <w:pPr>
              <w:pStyle w:val="Bodytext2"/>
              <w:rPr>
                <w:lang w:val="en-GB"/>
              </w:rPr>
            </w:pPr>
          </w:p>
          <w:p w:rsidR="00167B0C" w:rsidRPr="00862C1F" w:rsidP="00167B0C" w14:paraId="19A6A12C" w14:textId="21BC6D6B">
            <w:pPr>
              <w:pStyle w:val="Bodytext2"/>
              <w:rPr>
                <w:lang w:val="en-GB"/>
              </w:rPr>
            </w:pPr>
            <w:r w:rsidRPr="00583982">
              <w:rPr>
                <w:lang w:val="en-GB"/>
              </w:rPr>
              <w:t>Deferred tax asse</w:t>
            </w:r>
            <w:r w:rsidRPr="00583982">
              <w:rPr>
                <w:lang w:val="en-GB"/>
              </w:rPr>
              <w:t>ts and liabilities are offset when there is a legally enforceable right to offset current tax assets against current tax liabilities, and when the deferred tax assets and liabilities relate to income taxes levied by the same taxation authority on either th</w:t>
            </w:r>
            <w:r w:rsidRPr="00583982">
              <w:rPr>
                <w:lang w:val="en-GB"/>
              </w:rPr>
              <w:t>e same taxable entity</w:t>
            </w:r>
            <w:r>
              <w:rPr>
                <w:lang w:val="en-GB"/>
              </w:rPr>
              <w:t>,</w:t>
            </w:r>
            <w:r w:rsidRPr="00583982">
              <w:rPr>
                <w:lang w:val="en-GB"/>
              </w:rPr>
              <w:t xml:space="preserve"> or different taxable entities which intend to settle the balances on a net basis.</w:t>
            </w:r>
          </w:p>
        </w:tc>
      </w:tr>
    </w:tbl>
    <w:p w:rsidR="00167B0C" w:rsidP="00167B0C" w14:paraId="5DAA8753" w14:textId="01DA4EDA">
      <w:pPr>
        <w:pStyle w:val="Bodytext2"/>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41AF2AE4" w14:textId="77777777" w:rsidTr="000B7617">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0B7617" w:rsidRPr="00583982" w:rsidP="000B7617" w14:paraId="3D4A2E94" w14:textId="77777777">
            <w:pPr>
              <w:pStyle w:val="Heading13"/>
              <w:rPr>
                <w:lang w:val="en-GB"/>
              </w:rPr>
            </w:pPr>
            <w:r w:rsidRPr="00583982">
              <w:rPr>
                <w:lang w:val="en-GB"/>
              </w:rPr>
              <w:t>Accounting estimates and judgements</w:t>
            </w:r>
          </w:p>
          <w:p w:rsidR="000B7617" w:rsidRPr="000B7617" w:rsidP="000B7617" w14:paraId="7A91AD38" w14:textId="610A1EBC">
            <w:pPr>
              <w:pStyle w:val="Bodytext2"/>
              <w:rPr>
                <w:lang w:val="en-GB"/>
              </w:rPr>
            </w:pPr>
            <w:r w:rsidRPr="00583982">
              <w:rPr>
                <w:lang w:val="en-GB"/>
              </w:rPr>
              <w:t>Estimates of tax liabilities and receivables relate mainly to the expected result of ongoing tax audits, and to t</w:t>
            </w:r>
            <w:r w:rsidRPr="00583982">
              <w:rPr>
                <w:lang w:val="en-GB"/>
              </w:rPr>
              <w:t>he recognition of deferred tax receivables from tax losses. Deferred tax assets on unutilised tax losses and other temporary differences are recognised to the extent it is highly probable that taxable profit is available. No deferred tax assets are recogni</w:t>
            </w:r>
            <w:r w:rsidRPr="00583982">
              <w:rPr>
                <w:lang w:val="en-GB"/>
              </w:rPr>
              <w:t>sed from tax losses when there is uncertainty of their utilisation</w:t>
            </w:r>
            <w:r>
              <w:rPr>
                <w:lang w:val="en-GB"/>
              </w:rPr>
              <w:t>.</w:t>
            </w:r>
          </w:p>
        </w:tc>
      </w:tr>
    </w:tbl>
    <w:p w:rsidR="000B7617" w:rsidRPr="00167B0C" w:rsidP="00167B0C" w14:paraId="1DBF2F50" w14:textId="77777777">
      <w:pPr>
        <w:pStyle w:val="Bodytext2"/>
      </w:pPr>
    </w:p>
    <w:p w:rsidR="00167B0C" w:rsidRPr="00167B0C" w:rsidP="00167B0C" w14:paraId="7216549D" w14:textId="2BC83946">
      <w:pPr>
        <w:pStyle w:val="Heading13"/>
      </w:pPr>
      <w:r w:rsidRPr="00167B0C">
        <w:t>Changes in deferred taxes during 202</w:t>
      </w:r>
      <w:r>
        <w:t>1</w:t>
      </w:r>
    </w:p>
    <w:tbl>
      <w:tblPr>
        <w:tblStyle w:val="TableNormal"/>
        <w:tblCaption w:val="table_current_deferred_taxes"/>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January 2021</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Recog-</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nised in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the con-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solidated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statement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of income</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Other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compre-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hensive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income</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Transla-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tion dif-</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ferences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Acquisi-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tions and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disposals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 December 2021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Deferred tax assets</w:t>
            </w: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Tax loss carry-forwards</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58</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Pension obligations</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Provisions</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Elimination of intragroup margin in inventories</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Fair value reserve</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temporary differences</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58</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Reclassification to assets held for sale</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183</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Deferred tax liabilities</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Intangible assets and property, plant and equipment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Fair value reserve</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temporary differences</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Reclassification to assets held for sale</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76</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 deferred tax assets/liabilities</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101</w:t>
            </w:r>
          </w:p>
        </w:tc>
      </w:tr>
    </w:tbl>
    <w:p w:rsidR="00167B0C" w:rsidRPr="00167B0C" w:rsidP="00167B0C" w14:paraId="1E3EBCED" w14:textId="77777777">
      <w:pPr>
        <w:pStyle w:val="Bodytext2"/>
      </w:pPr>
    </w:p>
    <w:p w:rsidR="00167B0C" w:rsidRPr="00167B0C" w:rsidP="00167B0C" w14:paraId="67E2A36A" w14:textId="4CA8D239">
      <w:pPr>
        <w:pStyle w:val="Bodytext2"/>
      </w:pPr>
      <w:r w:rsidRPr="00167B0C">
        <w:t>On 31 December 202</w:t>
      </w:r>
      <w:r w:rsidR="009C782E">
        <w:t>1</w:t>
      </w:r>
      <w:r w:rsidRPr="00167B0C">
        <w:t>, the Group had temporary differences on which no deferred tax assets were booked</w:t>
      </w:r>
      <w:r>
        <w:t>,</w:t>
      </w:r>
      <w:r w:rsidRPr="00167B0C">
        <w:t xml:space="preserve"> </w:t>
      </w:r>
      <w:r w:rsidRPr="00167B0C">
        <w:t xml:space="preserve">totalling EUR </w:t>
      </w:r>
      <w:r w:rsidR="009C782E">
        <w:t>79</w:t>
      </w:r>
      <w:r w:rsidRPr="00167B0C">
        <w:t xml:space="preserve"> million (6</w:t>
      </w:r>
      <w:r w:rsidR="009C782E">
        <w:t>8</w:t>
      </w:r>
      <w:r w:rsidRPr="00167B0C">
        <w:t xml:space="preserve">), as it is uncertain if they will be realised. Most of the unrecognised deferred tax assets are related to cumulative tax losses. Of these, EUR </w:t>
      </w:r>
      <w:r>
        <w:t>9</w:t>
      </w:r>
      <w:r w:rsidRPr="00167B0C">
        <w:t xml:space="preserve"> million (</w:t>
      </w:r>
      <w:r w:rsidR="009C782E">
        <w:t>1</w:t>
      </w:r>
      <w:r w:rsidRPr="00167B0C">
        <w:t>9) will expire within the next five years and the rest will expire late</w:t>
      </w:r>
      <w:r w:rsidRPr="00167B0C">
        <w:t>r or never. Most of the cumulative tax losses on which deferred tax assets have been booked will never expire.</w:t>
      </w:r>
    </w:p>
    <w:p w:rsidR="00167B0C" w:rsidRPr="00167B0C" w:rsidP="00167B0C" w14:paraId="7CA4191B" w14:textId="77777777">
      <w:pPr>
        <w:pStyle w:val="Bodytext2"/>
      </w:pPr>
    </w:p>
    <w:p w:rsidR="00167B0C" w:rsidRPr="00167B0C" w:rsidP="00167B0C" w14:paraId="3E642DD3" w14:textId="6871C99D">
      <w:pPr>
        <w:pStyle w:val="Heading13"/>
      </w:pPr>
      <w:r w:rsidRPr="00167B0C">
        <w:t>Changes in deferred taxes during 20</w:t>
      </w:r>
      <w:r>
        <w:t>20</w:t>
      </w:r>
    </w:p>
    <w:tbl>
      <w:tblPr>
        <w:tblStyle w:val="TableNormal"/>
        <w:tblCaption w:val="table_previous_deferred_taxes"/>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January 2020</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Recog-</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nised in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the con-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solidated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statement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of income</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Other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compre-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hensive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income</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Transla-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tion dif-</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ferences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Acquisi-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tions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 December 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Deferred tax assets</w:t>
            </w: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Tax loss carry-forwards</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Pension obligations</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Provisions</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Elimination of intragroup margin in inventories</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Fair value reserve</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temporary differences</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Reclassification to assets held for sale</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155</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w:t>
            </w:r>
          </w:p>
        </w:tc>
        <w:tc>
          <w:tcPr>
            <w:tcW w:w="87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87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Deferred tax liabilities</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Intangible assets and property, plant and equipment</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59</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Fair value reserve</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temporary differences</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Reclassification to assets held for sale</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83</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 deferred tax assets/liabilities</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107</w:t>
            </w:r>
          </w:p>
        </w:tc>
      </w:tr>
    </w:tbl>
    <w:p w:rsidR="00167B0C" w:rsidRPr="003F7AA6" w:rsidP="003F7AA6" w14:paraId="243ECBCD" w14:textId="4FBF34B0">
      <w:pPr>
        <w:pStyle w:val="Bodytext2"/>
        <w:spacing w:before="0"/>
        <w:rPr>
          <w:sz w:val="2"/>
          <w:szCs w:val="2"/>
        </w:rPr>
      </w:pPr>
      <w:r>
        <w:br w:type="column"/>
      </w:r>
      <w:r w:rsidRPr="003F7AA6">
        <w:rPr>
          <w:sz w:val="2"/>
          <w:szCs w:val="2"/>
        </w:rPr>
        <w:t xml:space="preserve">     </w:t>
      </w:r>
    </w:p>
    <w:p w:rsidR="0038059B" w:rsidP="0038059B" w14:paraId="29223BEC" w14:textId="77777777">
      <w:pPr>
        <w:pStyle w:val="Heading12"/>
      </w:pPr>
      <w:bookmarkStart w:id="1479" w:name="RG_MARKER_7334"/>
      <w:r>
        <w:t>4.7. PENSION OBLIGATIONS</w:t>
      </w:r>
      <w:bookmarkEnd w:id="1479"/>
    </w:p>
    <w:tbl>
      <w:tblPr>
        <w:tblStyle w:val="TableGrid"/>
        <w:tblW w:w="7371" w:type="dxa"/>
        <w:tblLook w:val="04A0"/>
      </w:tblPr>
      <w:tblGrid>
        <w:gridCol w:w="7371"/>
      </w:tblGrid>
      <w:tr w14:paraId="26440DE4" w14:textId="77777777" w:rsidTr="0038059B">
        <w:tblPrEx>
          <w:tblW w:w="7371" w:type="dxa"/>
          <w:tblLook w:val="04A0"/>
        </w:tblPrEx>
        <w:tc>
          <w:tcPr>
            <w:tcW w:w="6683" w:type="dxa"/>
            <w:tcBorders>
              <w:top w:val="nil"/>
              <w:left w:val="nil"/>
              <w:bottom w:val="nil"/>
              <w:right w:val="nil"/>
            </w:tcBorders>
            <w:shd w:val="clear" w:color="auto" w:fill="B6C8D1"/>
          </w:tcPr>
          <w:p w:rsidR="0038059B" w:rsidRPr="007A6516" w:rsidP="0038059B" w14:paraId="2161A0A8" w14:textId="77777777">
            <w:pPr>
              <w:pStyle w:val="Heading13"/>
              <w:rPr>
                <w:lang w:val="en-GB"/>
              </w:rPr>
            </w:pPr>
            <w:r w:rsidRPr="007A6516">
              <w:rPr>
                <w:lang w:val="en-GB"/>
              </w:rPr>
              <w:t>Accounting principles</w:t>
            </w:r>
          </w:p>
          <w:p w:rsidR="0038059B" w:rsidRPr="007A6516" w:rsidP="0038059B" w14:paraId="395D114B" w14:textId="444A7699">
            <w:pPr>
              <w:pStyle w:val="Bodytext2"/>
              <w:rPr>
                <w:lang w:val="en-GB"/>
              </w:rPr>
            </w:pPr>
            <w:r w:rsidRPr="007A6516">
              <w:rPr>
                <w:lang w:val="en-GB"/>
              </w:rPr>
              <w:t>Group companies in different countries have various pension plans in accordance with local conditions and practices. These pension plans are classified either as defined contribution or defined benefit plans.</w:t>
            </w:r>
          </w:p>
          <w:p w:rsidR="0038059B" w:rsidRPr="007A6516" w:rsidP="0038059B" w14:paraId="426D2FEE" w14:textId="77777777">
            <w:pPr>
              <w:pStyle w:val="Bodytext2"/>
              <w:rPr>
                <w:lang w:val="en-GB"/>
              </w:rPr>
            </w:pPr>
          </w:p>
          <w:p w:rsidR="0038059B" w:rsidRPr="007A6516" w:rsidP="0038059B" w14:paraId="71D49473" w14:textId="01EA91E9">
            <w:pPr>
              <w:pStyle w:val="Bodytext2"/>
              <w:rPr>
                <w:lang w:val="en-GB"/>
              </w:rPr>
            </w:pPr>
            <w:r w:rsidRPr="007A6516">
              <w:rPr>
                <w:lang w:val="en-GB"/>
              </w:rPr>
              <w:t>Defined benefit plans are funded through contr</w:t>
            </w:r>
            <w:r w:rsidRPr="007A6516">
              <w:rPr>
                <w:lang w:val="en-GB"/>
              </w:rPr>
              <w:t>ibutions to pension funds or pension insurance companies. Defined benefit plans may be unfunded or wholly or partly funded. The present value of the obligation arising from the defined benefit plans is determined per each plan using actuarial techniques, t</w:t>
            </w:r>
            <w:r w:rsidRPr="007A6516">
              <w:rPr>
                <w:lang w:val="en-GB"/>
              </w:rPr>
              <w:t>he projected unit credit method. The Group recognises the defined benefit obligation</w:t>
            </w:r>
            <w:r w:rsidR="007A6516">
              <w:rPr>
                <w:lang w:val="en-GB"/>
              </w:rPr>
              <w:t>,</w:t>
            </w:r>
            <w:r w:rsidRPr="007A6516">
              <w:rPr>
                <w:lang w:val="en-GB"/>
              </w:rPr>
              <w:t xml:space="preserve"> net of fair value of the plan assets</w:t>
            </w:r>
            <w:r w:rsidR="007A6516">
              <w:rPr>
                <w:lang w:val="en-GB"/>
              </w:rPr>
              <w:t>,</w:t>
            </w:r>
            <w:r w:rsidRPr="007A6516">
              <w:rPr>
                <w:lang w:val="en-GB"/>
              </w:rPr>
              <w:t xml:space="preserve"> at the end of the financial period.</w:t>
            </w:r>
          </w:p>
          <w:p w:rsidR="0038059B" w:rsidRPr="007A6516" w:rsidP="0038059B" w14:paraId="034FFB90" w14:textId="77777777">
            <w:pPr>
              <w:pStyle w:val="Bodytext2"/>
              <w:rPr>
                <w:lang w:val="en-GB"/>
              </w:rPr>
            </w:pPr>
          </w:p>
          <w:p w:rsidR="0038059B" w:rsidRPr="007A6516" w:rsidP="0038059B" w14:paraId="2E72797D" w14:textId="6BF63FD2">
            <w:pPr>
              <w:pStyle w:val="Bodytext2"/>
              <w:rPr>
                <w:lang w:val="en-GB"/>
              </w:rPr>
            </w:pPr>
            <w:r w:rsidRPr="007A6516">
              <w:rPr>
                <w:lang w:val="en-GB"/>
              </w:rPr>
              <w:t>Actuarial gains and losses and other re</w:t>
            </w:r>
            <w:r w:rsidR="007A6516">
              <w:rPr>
                <w:lang w:val="en-GB"/>
              </w:rPr>
              <w:t>-</w:t>
            </w:r>
            <w:r w:rsidRPr="007A6516">
              <w:rPr>
                <w:lang w:val="en-GB"/>
              </w:rPr>
              <w:t xml:space="preserve">measurements of the net defined benefit obligation are </w:t>
            </w:r>
            <w:r w:rsidRPr="007A6516">
              <w:rPr>
                <w:lang w:val="en-GB"/>
              </w:rPr>
              <w:t>recognised immediately in the statement of other comprehensive income. Current service cost is the present value of the post</w:t>
            </w:r>
            <w:r w:rsidR="007A6516">
              <w:rPr>
                <w:lang w:val="en-GB"/>
              </w:rPr>
              <w:t>-</w:t>
            </w:r>
            <w:r w:rsidRPr="007A6516">
              <w:rPr>
                <w:lang w:val="en-GB"/>
              </w:rPr>
              <w:t>employment benefit, which is earned by the employees during the year. The Group determines the net interest expense on the net defi</w:t>
            </w:r>
            <w:r w:rsidRPr="007A6516">
              <w:rPr>
                <w:lang w:val="en-GB"/>
              </w:rPr>
              <w:t>ned benefit plan by applying the discount rate used to measure the defined benefit obligation. Service cost is recognised in employee benefit expenses and the net interest in financial expenses. The defined benefit plans are calculated by qualified actuari</w:t>
            </w:r>
            <w:r w:rsidRPr="007A6516">
              <w:rPr>
                <w:lang w:val="en-GB"/>
              </w:rPr>
              <w:t>es.</w:t>
            </w:r>
          </w:p>
          <w:p w:rsidR="0038059B" w:rsidRPr="007A6516" w:rsidP="0038059B" w14:paraId="78AB7066" w14:textId="77777777">
            <w:pPr>
              <w:pStyle w:val="Bodytext2"/>
              <w:rPr>
                <w:lang w:val="en-GB"/>
              </w:rPr>
            </w:pPr>
          </w:p>
          <w:p w:rsidR="0038059B" w:rsidRPr="007A6516" w:rsidP="0038059B" w14:paraId="6403EE8A" w14:textId="29ECE33B">
            <w:pPr>
              <w:pStyle w:val="Bodytext2"/>
              <w:rPr>
                <w:lang w:val="en-GB"/>
              </w:rPr>
            </w:pPr>
            <w:r w:rsidRPr="007A6516">
              <w:rPr>
                <w:lang w:val="en-GB"/>
              </w:rPr>
              <w:t>In addition to defined benefit plans, Wärtsilä has other long-term employee benefits</w:t>
            </w:r>
            <w:r w:rsidR="007A6516">
              <w:rPr>
                <w:lang w:val="en-GB"/>
              </w:rPr>
              <w:t xml:space="preserve">, which </w:t>
            </w:r>
            <w:r w:rsidRPr="007A6516">
              <w:rPr>
                <w:lang w:val="en-GB"/>
              </w:rPr>
              <w:t xml:space="preserve">are presented separately from the defined benefit plans. </w:t>
            </w:r>
            <w:r w:rsidR="007A6516">
              <w:rPr>
                <w:lang w:val="en-GB"/>
              </w:rPr>
              <w:t xml:space="preserve">As with </w:t>
            </w:r>
            <w:r w:rsidRPr="007A6516">
              <w:rPr>
                <w:lang w:val="en-GB"/>
              </w:rPr>
              <w:t>the accounting for a defined benefit plan, for any other long-term benefit the Group recognise</w:t>
            </w:r>
            <w:r w:rsidRPr="007A6516">
              <w:rPr>
                <w:lang w:val="en-GB"/>
              </w:rPr>
              <w:t>s a liability for the obligation</w:t>
            </w:r>
            <w:r w:rsidR="007A6516">
              <w:rPr>
                <w:lang w:val="en-GB"/>
              </w:rPr>
              <w:t>,</w:t>
            </w:r>
            <w:r w:rsidRPr="007A6516">
              <w:rPr>
                <w:lang w:val="en-GB"/>
              </w:rPr>
              <w:t xml:space="preserve"> net of the fair value of</w:t>
            </w:r>
            <w:r w:rsidR="007A6516">
              <w:rPr>
                <w:lang w:val="en-GB"/>
              </w:rPr>
              <w:t xml:space="preserve"> the</w:t>
            </w:r>
            <w:r w:rsidRPr="007A6516">
              <w:rPr>
                <w:lang w:val="en-GB"/>
              </w:rPr>
              <w:t xml:space="preserve"> plan assets, if any. Changes in other long-term employee benefits are recognised in the statement of income.</w:t>
            </w:r>
          </w:p>
          <w:p w:rsidR="0038059B" w:rsidRPr="007A6516" w:rsidP="0038059B" w14:paraId="05E31D25" w14:textId="13452464">
            <w:pPr>
              <w:pStyle w:val="Bodytext2"/>
              <w:rPr>
                <w:lang w:val="en-GB"/>
              </w:rPr>
            </w:pPr>
          </w:p>
          <w:p w:rsidR="0038059B" w:rsidRPr="00B25365" w:rsidP="0038059B" w14:paraId="16C1DCE5" w14:textId="12ABF52F">
            <w:pPr>
              <w:pStyle w:val="Bodytext2"/>
              <w:rPr>
                <w:lang w:val="en-GB"/>
              </w:rPr>
            </w:pPr>
            <w:r w:rsidRPr="007A6516">
              <w:rPr>
                <w:lang w:val="en-GB"/>
              </w:rPr>
              <w:t>Accounting principles for defined contribution plans are presented in Note 2.5. Emp</w:t>
            </w:r>
            <w:r w:rsidRPr="007A6516">
              <w:rPr>
                <w:lang w:val="en-GB"/>
              </w:rPr>
              <w:t>loyee benefit expenses.</w:t>
            </w:r>
          </w:p>
        </w:tc>
      </w:tr>
    </w:tbl>
    <w:p w:rsidR="0038059B" w:rsidP="0038059B" w14:paraId="1BD5AF5C" w14:textId="2DD1C687">
      <w:pPr>
        <w:pStyle w:val="Bodytext2"/>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2F8B0811" w14:textId="77777777" w:rsidTr="00B25365">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B25365" w:rsidRPr="007A6516" w:rsidP="00B25365" w14:paraId="3B9D9C49" w14:textId="77777777">
            <w:pPr>
              <w:pStyle w:val="Heading13"/>
              <w:rPr>
                <w:lang w:val="en-GB"/>
              </w:rPr>
            </w:pPr>
            <w:r w:rsidRPr="007A6516">
              <w:rPr>
                <w:lang w:val="en-GB"/>
              </w:rPr>
              <w:t>Accounting estimates and judgements</w:t>
            </w:r>
          </w:p>
          <w:p w:rsidR="00B25365" w:rsidRPr="00B25365" w:rsidP="00B25365" w14:paraId="19D23013" w14:textId="288175B0">
            <w:pPr>
              <w:pStyle w:val="Bodytext2"/>
              <w:rPr>
                <w:lang w:val="en-GB"/>
              </w:rPr>
            </w:pPr>
            <w:r w:rsidRPr="007A6516">
              <w:rPr>
                <w:lang w:val="en-US"/>
              </w:rPr>
              <w:t>Estimates of pension obligations regarding each defined benefit plan are based on actuarial estimates of factors</w:t>
            </w:r>
            <w:r>
              <w:rPr>
                <w:lang w:val="en-US"/>
              </w:rPr>
              <w:t>,</w:t>
            </w:r>
            <w:r w:rsidRPr="007A6516">
              <w:rPr>
                <w:lang w:val="en-US"/>
              </w:rPr>
              <w:t xml:space="preserve"> including future salary increases, discount rates, and return on plan assets. Changes in these assumptions can significantly affect the Group’s pension obligations and pension costs.</w:t>
            </w:r>
          </w:p>
        </w:tc>
      </w:tr>
    </w:tbl>
    <w:p w:rsidR="00B25365" w:rsidP="0038059B" w14:paraId="63B9EDE6" w14:textId="6EE88DFB">
      <w:pPr>
        <w:pStyle w:val="Bodytext2"/>
      </w:pPr>
    </w:p>
    <w:tbl>
      <w:tblPr>
        <w:tblStyle w:val="TableNormal"/>
        <w:tblCaption w:val="table_employee_liabilities"/>
        <w:tblW w:w="7335" w:type="dxa"/>
        <w:tblLayout w:type="fixed"/>
        <w:tblLook w:val="0600"/>
      </w:tblPr>
      <w:tblGrid>
        <w:gridCol w:w="3960"/>
        <w:gridCol w:w="1125"/>
        <w:gridCol w:w="1125"/>
        <w:gridCol w:w="1125"/>
      </w:tblGrid>
      <w:tr>
        <w:tblPrEx>
          <w:tblW w:w="7335" w:type="dxa"/>
          <w:tblLayout w:type="fixed"/>
          <w:tblLook w:val="0600"/>
        </w:tblPrEx>
        <w:trPr>
          <w:trHeight w:val="240"/>
        </w:trPr>
        <w:tc>
          <w:tcPr>
            <w:tcW w:w="396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1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8" w:space="0" w:color="0F172B"/>
              <w:left w:val="nil"/>
              <w:bottom w:val="single" w:sz="4"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Net defined benefit assets on 31 December</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4" w:space="0" w:color="000000"/>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Net defined benefit liabilities on 31 December</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139</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Liability for other long-term employee benefits on 31 December</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w:t>
            </w:r>
          </w:p>
        </w:tc>
      </w:tr>
    </w:tbl>
    <w:p w:rsidR="0038059B" w:rsidP="0038059B" w14:paraId="10B9B606" w14:textId="77777777">
      <w:pPr>
        <w:pStyle w:val="Bodytext2"/>
      </w:pPr>
    </w:p>
    <w:p w:rsidR="0038059B" w:rsidP="0038059B" w14:paraId="3F88B15D" w14:textId="28E332FD">
      <w:pPr>
        <w:pStyle w:val="Bodytext2"/>
      </w:pPr>
      <w:r>
        <w:t>Wärtsilä has defined benefit plans for its employees mainly in Europe and Asia. The major plans are located in Switzerl</w:t>
      </w:r>
      <w:r>
        <w:t>and, Germany, United Kingdom and Sweden. The Swiss defined benefit plan accounts for 3</w:t>
      </w:r>
      <w:r w:rsidR="003F5FAF">
        <w:t>4</w:t>
      </w:r>
      <w:r>
        <w:t>% of the Group's total defined benefit obligations and 56% of the plans' assets. Most of the plans provide a lifetime pension to the members at the normal retirement age</w:t>
      </w:r>
      <w:r w:rsidR="007A6516">
        <w:t>,</w:t>
      </w:r>
      <w:r>
        <w:t xml:space="preserve"> but there are also plans</w:t>
      </w:r>
      <w:r w:rsidR="007A6516">
        <w:t xml:space="preserve"> that</w:t>
      </w:r>
      <w:r>
        <w:t xml:space="preserve"> provide a lump sum payment at the retirement date. Most of these defined benefit pension plans are managed by pension funds. Their assets are not included in the Group's assets. The plans' assets are typically invested accor</w:t>
      </w:r>
      <w:r>
        <w:t>ding to the investment strategies approved by the funds' Board of Trustees, or in some cases are completely administered by insurance companies. Wärtsilä Group companies make their payments to pension funds in accordance with</w:t>
      </w:r>
      <w:r w:rsidR="007A6516">
        <w:t xml:space="preserve"> </w:t>
      </w:r>
      <w:r>
        <w:t>local legislation and practice</w:t>
      </w:r>
      <w:r>
        <w:t xml:space="preserve">. </w:t>
      </w:r>
      <w:r>
        <w:t>Authorised</w:t>
      </w:r>
      <w:r>
        <w:t xml:space="preserve"> actuaries in each country have performed the actuarial calculations required for the defined benefit plans.</w:t>
      </w:r>
    </w:p>
    <w:p w:rsidR="0038059B" w:rsidP="0038059B" w14:paraId="7A090490" w14:textId="77777777">
      <w:pPr>
        <w:pStyle w:val="Bodytext2"/>
      </w:pPr>
    </w:p>
    <w:p w:rsidR="0038059B" w:rsidP="0038059B" w14:paraId="470108F7" w14:textId="77777777">
      <w:pPr>
        <w:pStyle w:val="Heading13"/>
      </w:pPr>
      <w:r>
        <w:t>The Swiss plan</w:t>
      </w:r>
    </w:p>
    <w:p w:rsidR="0038059B" w:rsidP="0038059B" w14:paraId="0DC1C0ED" w14:textId="7379A810">
      <w:pPr>
        <w:pStyle w:val="Bodytext2"/>
      </w:pPr>
      <w:r>
        <w:t xml:space="preserve">Wärtsilä operates a defined benefit plan in Switzerland in accordance with the local pension laws and </w:t>
      </w:r>
      <w:r>
        <w:t>regulations. The plan provides benefits to the members in the form of a pension payable after retirement. The level of benefits provided depends on the accrued retirement savings capital, which is a result of contributions paid up to retirement plus respec</w:t>
      </w:r>
      <w:r>
        <w:t>tive interest. The plan is run as a pension fund by the Board of Trustees separately from the company.</w:t>
      </w:r>
    </w:p>
    <w:p w:rsidR="0038059B" w:rsidP="0038059B" w14:paraId="5D130BBA" w14:textId="77777777">
      <w:pPr>
        <w:pStyle w:val="Bodytext2"/>
      </w:pPr>
    </w:p>
    <w:p w:rsidR="0038059B" w:rsidP="0038059B" w14:paraId="3EB5D149" w14:textId="3C53BCAA">
      <w:pPr>
        <w:pStyle w:val="Bodytext2"/>
      </w:pPr>
      <w:r>
        <w:t>Contributions to the plan are paid both by the employees</w:t>
      </w:r>
      <w:r w:rsidR="007A6516">
        <w:t>,</w:t>
      </w:r>
      <w:r>
        <w:t xml:space="preserve"> as well as by the employers based on a percentage of the insured salary as defined in the pens</w:t>
      </w:r>
      <w:r>
        <w:t>ion fund regulations. Contributions by the employers vary depending on the age of the employee</w:t>
      </w:r>
      <w:r w:rsidR="007A6516">
        <w:t>,</w:t>
      </w:r>
      <w:r>
        <w:t xml:space="preserve"> and cover on average two thirds of the total contributions.</w:t>
      </w:r>
    </w:p>
    <w:p w:rsidR="0038059B" w:rsidP="0038059B" w14:paraId="602ABAE1" w14:textId="77777777">
      <w:pPr>
        <w:pStyle w:val="Bodytext2"/>
      </w:pPr>
    </w:p>
    <w:p w:rsidR="0038059B" w:rsidP="0038059B" w14:paraId="62503003" w14:textId="2CBC301B">
      <w:pPr>
        <w:pStyle w:val="Bodytext2"/>
      </w:pPr>
      <w:r>
        <w:t xml:space="preserve">The investment strategy for a pension fund's asset is the responsibility of the Board of Trustees. </w:t>
      </w:r>
      <w:r>
        <w:t xml:space="preserve">Assets are invested in accordance with the strategy and the corridors for different investment categories as defined by local laws. Other risks of the plan are </w:t>
      </w:r>
      <w:r w:rsidR="007A6516">
        <w:t xml:space="preserve">the </w:t>
      </w:r>
      <w:r>
        <w:t>longevity of plan members</w:t>
      </w:r>
      <w:r w:rsidR="007A6516">
        <w:t>,</w:t>
      </w:r>
      <w:r>
        <w:t xml:space="preserve"> as well as </w:t>
      </w:r>
      <w:r w:rsidR="007A6516">
        <w:t xml:space="preserve">the </w:t>
      </w:r>
      <w:r>
        <w:t>death or disability of employees before their reti</w:t>
      </w:r>
      <w:r>
        <w:t xml:space="preserve">rement. The pension plan is reinsured for the risk of death and disability until 31 December 2021. Inflationary increases for pensions in payment are at the discretion of the Board of Trustees </w:t>
      </w:r>
      <w:r w:rsidR="007A6516">
        <w:t>when</w:t>
      </w:r>
      <w:r>
        <w:t xml:space="preserve"> benefits paid by the plan are exceeding the minimum level </w:t>
      </w:r>
      <w:r>
        <w:t>required by law.</w:t>
      </w:r>
    </w:p>
    <w:p w:rsidR="0038059B" w:rsidP="0038059B" w14:paraId="394EE0F8" w14:textId="77777777">
      <w:pPr>
        <w:pStyle w:val="Bodytext2"/>
      </w:pPr>
    </w:p>
    <w:p w:rsidR="0038059B" w:rsidP="0038059B" w14:paraId="221969EE" w14:textId="77777777">
      <w:pPr>
        <w:pStyle w:val="Heading13"/>
      </w:pPr>
      <w:r>
        <w:t>The German plans</w:t>
      </w:r>
    </w:p>
    <w:p w:rsidR="0038059B" w:rsidP="0038059B" w14:paraId="44018F26" w14:textId="252289DA">
      <w:pPr>
        <w:pStyle w:val="Bodytext2"/>
      </w:pPr>
      <w:r>
        <w:t xml:space="preserve">Wärtsilä operates defined benefit plans in Germany in accordance with local pension laws and regulations. The plans provide benefits to the members in the form of a pension payable after retirement. The level of </w:t>
      </w:r>
      <w:r>
        <w:t>benefits provided depends on the accrued retirement savings capital, which is a result of contributions paid up to retirement plus respective interest. The plans vary from unfunded plans</w:t>
      </w:r>
      <w:r w:rsidR="007A6516">
        <w:t>,</w:t>
      </w:r>
      <w:r>
        <w:t xml:space="preserve"> to a plan run as a pension fund.</w:t>
      </w:r>
    </w:p>
    <w:p w:rsidR="0038059B" w:rsidP="0038059B" w14:paraId="0ADD8DC8" w14:textId="77777777">
      <w:pPr>
        <w:pStyle w:val="Bodytext2"/>
      </w:pPr>
    </w:p>
    <w:p w:rsidR="0038059B" w:rsidP="0038059B" w14:paraId="7094F77D" w14:textId="1528CB8A">
      <w:pPr>
        <w:pStyle w:val="Bodytext2"/>
      </w:pPr>
      <w:r>
        <w:t>In some of the plans, contribution</w:t>
      </w:r>
      <w:r>
        <w:t>s are paid to the plan</w:t>
      </w:r>
      <w:r w:rsidR="007A6516">
        <w:t>,</w:t>
      </w:r>
      <w:r>
        <w:t xml:space="preserve"> both by the employees and the employers based on a percentage of the insured salary as defined in the pension fund regulations. However, in some plans only the employer is obliged to make the payments. Contributions by the employers</w:t>
      </w:r>
      <w:r>
        <w:t xml:space="preserve"> vary depending on the age of the employee, the duration of the employment</w:t>
      </w:r>
      <w:r w:rsidR="007A6516">
        <w:t>,</w:t>
      </w:r>
      <w:r>
        <w:t xml:space="preserve"> and also on the position of the employee.</w:t>
      </w:r>
    </w:p>
    <w:p w:rsidR="0038059B" w:rsidP="0038059B" w14:paraId="1DE75B57" w14:textId="77777777">
      <w:pPr>
        <w:pStyle w:val="Bodytext2"/>
      </w:pPr>
    </w:p>
    <w:p w:rsidR="0038059B" w:rsidRPr="00037E46" w:rsidP="0038059B" w14:paraId="7729E6CF" w14:textId="015C1B04">
      <w:pPr>
        <w:pStyle w:val="Bodytext2"/>
        <w:rPr>
          <w:sz w:val="2"/>
          <w:szCs w:val="2"/>
        </w:rPr>
      </w:pPr>
      <w:r>
        <w:t xml:space="preserve">The main risks of the plans are </w:t>
      </w:r>
      <w:r w:rsidR="007A6516">
        <w:t xml:space="preserve">the </w:t>
      </w:r>
      <w:r>
        <w:t>longevity of plan members</w:t>
      </w:r>
      <w:r w:rsidR="007A6516">
        <w:t>,</w:t>
      </w:r>
      <w:r>
        <w:t xml:space="preserve"> and </w:t>
      </w:r>
      <w:r w:rsidR="007A6516">
        <w:t xml:space="preserve">the </w:t>
      </w:r>
      <w:r>
        <w:t>death or disability of employees before their retirement. In a fun</w:t>
      </w:r>
      <w:r>
        <w:t>ded plan,</w:t>
      </w:r>
      <w:r w:rsidR="007A6516">
        <w:t xml:space="preserve"> </w:t>
      </w:r>
      <w:r>
        <w:t xml:space="preserve">the investment strategy chosen also includes certain risk. Inflationary increases for pensions in payment are </w:t>
      </w:r>
      <w:r>
        <w:t>valuated</w:t>
      </w:r>
      <w:r>
        <w:t xml:space="preserve"> on a yearly basis.</w:t>
      </w:r>
      <w:r>
        <w:br w:type="column"/>
      </w:r>
    </w:p>
    <w:tbl>
      <w:tblPr>
        <w:tblStyle w:val="TableNormal"/>
        <w:tblCaption w:val="table_net_pension_liability"/>
        <w:tblW w:w="7335" w:type="dxa"/>
        <w:tblLayout w:type="fixed"/>
        <w:tblLook w:val="0600"/>
      </w:tblPr>
      <w:tblGrid>
        <w:gridCol w:w="3960"/>
        <w:gridCol w:w="1125"/>
        <w:gridCol w:w="1125"/>
        <w:gridCol w:w="1125"/>
      </w:tblGrid>
      <w:tr>
        <w:tblPrEx>
          <w:tblW w:w="7335" w:type="dxa"/>
          <w:tblLayout w:type="fixed"/>
          <w:tblLook w:val="0600"/>
        </w:tblPrEx>
        <w:trPr>
          <w:trHeight w:val="240"/>
        </w:trPr>
        <w:tc>
          <w:tcPr>
            <w:tcW w:w="396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1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Present value of unfunded defined benefit obligations</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102</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111</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Present value of funded defined benefit obligations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Fair value of plan assets</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-164</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-151</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 liability in the statement of financial position</w:t>
            </w:r>
          </w:p>
        </w:tc>
        <w:tc>
          <w:tcPr>
            <w:tcW w:w="112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120</w:t>
            </w:r>
          </w:p>
        </w:tc>
        <w:tc>
          <w:tcPr>
            <w:tcW w:w="112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139</w:t>
            </w:r>
          </w:p>
        </w:tc>
      </w:tr>
    </w:tbl>
    <w:p w:rsidR="0038059B" w:rsidP="0038059B" w14:paraId="1BBF65D7" w14:textId="77777777">
      <w:pPr>
        <w:pStyle w:val="Bodytext2"/>
      </w:pPr>
    </w:p>
    <w:tbl>
      <w:tblPr>
        <w:tblStyle w:val="TableNormal"/>
        <w:tblCaption w:val="table_pension_percentages"/>
        <w:tblW w:w="7335" w:type="dxa"/>
        <w:tblLayout w:type="fixed"/>
        <w:tblLook w:val="0600"/>
      </w:tblPr>
      <w:tblGrid>
        <w:gridCol w:w="3960"/>
        <w:gridCol w:w="1125"/>
        <w:gridCol w:w="1125"/>
        <w:gridCol w:w="1125"/>
      </w:tblGrid>
      <w:tr>
        <w:tblPrEx>
          <w:tblW w:w="7335" w:type="dxa"/>
          <w:tblLayout w:type="fixed"/>
          <w:tblLook w:val="0600"/>
        </w:tblPrEx>
        <w:trPr>
          <w:trHeight w:val="240"/>
        </w:trPr>
        <w:tc>
          <w:tcPr>
            <w:tcW w:w="396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t>
            </w:r>
          </w:p>
        </w:tc>
        <w:tc>
          <w:tcPr>
            <w:tcW w:w="11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Present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value of</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defined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benefit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obligations</w:t>
            </w:r>
          </w:p>
        </w:tc>
        <w:tc>
          <w:tcPr>
            <w:tcW w:w="11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Fair</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value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of plan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assets</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Switzerland</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34</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56</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Germany</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Europe</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37</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33</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Asia</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12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100</w:t>
            </w:r>
          </w:p>
        </w:tc>
        <w:tc>
          <w:tcPr>
            <w:tcW w:w="112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100</w:t>
            </w:r>
          </w:p>
        </w:tc>
      </w:tr>
    </w:tbl>
    <w:p w:rsidR="0038059B" w:rsidP="0038059B" w14:paraId="1889A228" w14:textId="77777777">
      <w:pPr>
        <w:pStyle w:val="Bodytext2"/>
      </w:pPr>
    </w:p>
    <w:tbl>
      <w:tblPr>
        <w:tblStyle w:val="TableNormal"/>
        <w:tblCaption w:val="table_pension_obligations"/>
        <w:tblW w:w="7335" w:type="dxa"/>
        <w:tblLayout w:type="fixed"/>
        <w:tblLook w:val="0600"/>
      </w:tblPr>
      <w:tblGrid>
        <w:gridCol w:w="3960"/>
        <w:gridCol w:w="1125"/>
        <w:gridCol w:w="1125"/>
        <w:gridCol w:w="1125"/>
      </w:tblGrid>
      <w:tr>
        <w:tblPrEx>
          <w:tblW w:w="7335" w:type="dxa"/>
          <w:tblLayout w:type="fixed"/>
          <w:tblLook w:val="0600"/>
        </w:tblPrEx>
        <w:trPr>
          <w:trHeight w:val="240"/>
        </w:trPr>
        <w:tc>
          <w:tcPr>
            <w:tcW w:w="396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1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Present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value of</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defined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benefit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obligation</w:t>
            </w:r>
          </w:p>
        </w:tc>
        <w:tc>
          <w:tcPr>
            <w:tcW w:w="11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Fair</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value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of plan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assets</w:t>
            </w:r>
          </w:p>
        </w:tc>
        <w:tc>
          <w:tcPr>
            <w:tcW w:w="11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defined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benefit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liability</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Balance on 1 January 2020</w:t>
            </w:r>
          </w:p>
        </w:tc>
        <w:tc>
          <w:tcPr>
            <w:tcW w:w="112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299</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-146</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155</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exchange rates</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Recognised in the statement of income:</w:t>
            </w:r>
          </w:p>
        </w:tc>
        <w:tc>
          <w:tcPr>
            <w:tcW w:w="1125"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Current service cost</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Past service cost (- credit)</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Gains (-) / losses (+) on curtailments and settlements</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cost (+) / interest income (-)</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Remeasurements recognised in other comprehensive income:</w:t>
            </w:r>
          </w:p>
        </w:tc>
        <w:tc>
          <w:tcPr>
            <w:tcW w:w="1125"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Return on plan assets, excluding interest income</w:t>
            </w:r>
          </w:p>
        </w:tc>
        <w:tc>
          <w:tcPr>
            <w:tcW w:w="1125"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Experience adjustments</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financial assumptions</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Contribution paid by the plan members</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Contribution paid by the employer</w:t>
            </w:r>
          </w:p>
        </w:tc>
        <w:tc>
          <w:tcPr>
            <w:tcW w:w="1125"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Benefits paid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Reclassification to assets held for sale</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112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Balance on 31 December 2020</w:t>
            </w:r>
          </w:p>
        </w:tc>
        <w:tc>
          <w:tcPr>
            <w:tcW w:w="112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290</w:t>
            </w:r>
          </w:p>
        </w:tc>
        <w:tc>
          <w:tcPr>
            <w:tcW w:w="112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-151</w:t>
            </w:r>
          </w:p>
        </w:tc>
        <w:tc>
          <w:tcPr>
            <w:tcW w:w="112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139</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Balance on 1 January 2021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290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139</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exchange rates</w:t>
            </w:r>
          </w:p>
        </w:tc>
        <w:tc>
          <w:tcPr>
            <w:tcW w:w="112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Acquisitions and disposals</w:t>
            </w:r>
          </w:p>
        </w:tc>
        <w:tc>
          <w:tcPr>
            <w:tcW w:w="112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nil"/>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Recognised in the statement of income:</w:t>
            </w:r>
          </w:p>
        </w:tc>
        <w:tc>
          <w:tcPr>
            <w:tcW w:w="1125" w:type="dxa"/>
            <w:tcBorders>
              <w:top w:val="nil"/>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Current service cost</w:t>
            </w:r>
          </w:p>
        </w:tc>
        <w:tc>
          <w:tcPr>
            <w:tcW w:w="112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nil"/>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cost (+) / interest income (-)</w:t>
            </w:r>
          </w:p>
        </w:tc>
        <w:tc>
          <w:tcPr>
            <w:tcW w:w="1125" w:type="dxa"/>
            <w:tcBorders>
              <w:top w:val="nil"/>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12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12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Remeasurements recognised in other comprehensive income:</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Return on plan assets, excluding interest income</w:t>
            </w:r>
          </w:p>
        </w:tc>
        <w:tc>
          <w:tcPr>
            <w:tcW w:w="1125"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Experience adjustments</w:t>
            </w:r>
          </w:p>
        </w:tc>
        <w:tc>
          <w:tcPr>
            <w:tcW w:w="112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demographic assumptions</w:t>
            </w:r>
          </w:p>
        </w:tc>
        <w:tc>
          <w:tcPr>
            <w:tcW w:w="112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financial assumptions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Contribution paid by the plan members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Contribution paid by the employer</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Benefits paid</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nil"/>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Balance on 31 December 2021</w:t>
            </w:r>
          </w:p>
        </w:tc>
        <w:tc>
          <w:tcPr>
            <w:tcW w:w="1125"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282</w:t>
            </w:r>
          </w:p>
        </w:tc>
        <w:tc>
          <w:tcPr>
            <w:tcW w:w="1125"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164</w:t>
            </w:r>
          </w:p>
        </w:tc>
        <w:tc>
          <w:tcPr>
            <w:tcW w:w="1125"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120</w:t>
            </w:r>
          </w:p>
        </w:tc>
      </w:tr>
    </w:tbl>
    <w:p w:rsidR="0038059B" w:rsidP="0038059B" w14:paraId="75DF9B0B" w14:textId="77777777">
      <w:pPr>
        <w:pStyle w:val="Bodytext2"/>
      </w:pPr>
    </w:p>
    <w:p w:rsidR="0038059B" w:rsidP="0038059B" w14:paraId="1E4BE311" w14:textId="77777777">
      <w:pPr>
        <w:pStyle w:val="Bodytext2"/>
      </w:pPr>
    </w:p>
    <w:p w:rsidR="0038059B" w:rsidP="0038059B" w14:paraId="6052D692" w14:textId="77777777">
      <w:pPr>
        <w:pStyle w:val="Heading13"/>
      </w:pPr>
      <w:r>
        <w:t>Plan ass</w:t>
      </w:r>
      <w:r>
        <w:t>ets invested in:</w:t>
      </w:r>
    </w:p>
    <w:tbl>
      <w:tblPr>
        <w:tblStyle w:val="TableNormal"/>
        <w:tblCaption w:val="table_plan_investments"/>
        <w:tblW w:w="7335" w:type="dxa"/>
        <w:tblLayout w:type="fixed"/>
        <w:tblLook w:val="0600"/>
      </w:tblPr>
      <w:tblGrid>
        <w:gridCol w:w="3960"/>
        <w:gridCol w:w="1125"/>
        <w:gridCol w:w="1125"/>
        <w:gridCol w:w="1125"/>
      </w:tblGrid>
      <w:tr>
        <w:tblPrEx>
          <w:tblW w:w="7335" w:type="dxa"/>
          <w:tblLayout w:type="fixed"/>
          <w:tblLook w:val="0600"/>
        </w:tblPrEx>
        <w:trPr>
          <w:trHeight w:val="240"/>
        </w:trPr>
        <w:tc>
          <w:tcPr>
            <w:tcW w:w="396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t>
            </w:r>
          </w:p>
        </w:tc>
        <w:tc>
          <w:tcPr>
            <w:tcW w:w="11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Shares and other equity instruments</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Bonds and other debt instruments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Property</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assets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w:t>
            </w:r>
          </w:p>
        </w:tc>
      </w:tr>
    </w:tbl>
    <w:p w:rsidR="0038059B" w:rsidP="0038059B" w14:paraId="1264766C" w14:textId="77777777">
      <w:pPr>
        <w:pStyle w:val="Bodytext2"/>
      </w:pPr>
    </w:p>
    <w:p w:rsidR="0038059B" w:rsidP="0038059B" w14:paraId="331FBB3E" w14:textId="77777777">
      <w:pPr>
        <w:pStyle w:val="Bodytext2"/>
      </w:pPr>
    </w:p>
    <w:p w:rsidR="0038059B" w:rsidP="0038059B" w14:paraId="635F013A" w14:textId="77777777">
      <w:pPr>
        <w:pStyle w:val="Heading13"/>
      </w:pPr>
      <w:r>
        <w:t>The main actuarial assumptions at the end of the financial period are (expressed as weighted averages):</w:t>
      </w:r>
    </w:p>
    <w:tbl>
      <w:tblPr>
        <w:tblStyle w:val="TableNormal"/>
        <w:tblCaption w:val="table_actuarial_assumptions"/>
        <w:tblW w:w="7335" w:type="dxa"/>
        <w:tblLayout w:type="fixed"/>
        <w:tblLook w:val="0600"/>
      </w:tblPr>
      <w:tblGrid>
        <w:gridCol w:w="3960"/>
        <w:gridCol w:w="1125"/>
        <w:gridCol w:w="1125"/>
        <w:gridCol w:w="1125"/>
      </w:tblGrid>
      <w:tr>
        <w:tblPrEx>
          <w:tblW w:w="7335" w:type="dxa"/>
          <w:tblLayout w:type="fixed"/>
          <w:tblLook w:val="0600"/>
        </w:tblPrEx>
        <w:trPr>
          <w:trHeight w:val="240"/>
        </w:trPr>
        <w:tc>
          <w:tcPr>
            <w:tcW w:w="396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t>
            </w:r>
          </w:p>
        </w:tc>
        <w:tc>
          <w:tcPr>
            <w:tcW w:w="11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Discount rate</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1.27</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Future salary growth</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2.01</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Future pension growth</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w:t>
            </w:r>
          </w:p>
        </w:tc>
      </w:tr>
    </w:tbl>
    <w:p w:rsidR="0038059B" w:rsidP="0038059B" w14:paraId="1199505B" w14:textId="77777777">
      <w:pPr>
        <w:pStyle w:val="Bodytext2"/>
      </w:pPr>
    </w:p>
    <w:p w:rsidR="0038059B" w:rsidP="0038059B" w14:paraId="41AC7359" w14:textId="17AB4DF1">
      <w:pPr>
        <w:pStyle w:val="Bodytext2"/>
      </w:pPr>
      <w:r>
        <w:t>On 31 December 202</w:t>
      </w:r>
      <w:r w:rsidR="003F5FAF">
        <w:t>1</w:t>
      </w:r>
      <w:r>
        <w:t xml:space="preserve">, the weighted average duration of the defined benefit obligation was </w:t>
      </w:r>
      <w:r w:rsidR="003F5FAF">
        <w:t>10</w:t>
      </w:r>
      <w:r>
        <w:t xml:space="preserve"> years (</w:t>
      </w:r>
      <w:r w:rsidR="003F5FAF">
        <w:t>8</w:t>
      </w:r>
      <w:r>
        <w:t>). The Group expects to contribute EUR 6 million (</w:t>
      </w:r>
      <w:r w:rsidR="003F5FAF">
        <w:t>3</w:t>
      </w:r>
      <w:r>
        <w:t>) to the plans during the next financial period.</w:t>
      </w:r>
    </w:p>
    <w:p w:rsidR="0038059B" w:rsidP="0038059B" w14:paraId="0FD1F154" w14:textId="77777777">
      <w:pPr>
        <w:pStyle w:val="Bodytext2"/>
      </w:pPr>
    </w:p>
    <w:p w:rsidR="0038059B" w:rsidP="0038059B" w14:paraId="0423EEBF" w14:textId="77777777">
      <w:pPr>
        <w:pStyle w:val="Bodytext2"/>
      </w:pPr>
      <w:r>
        <w:t>Assumptions regarding future mortality are set based on actuarial advice i</w:t>
      </w:r>
      <w:r>
        <w:t>n accordance with the published statistics and experience in each country. These assumptions translate into a weighted average life expectancy in years for a pensioner at the retirement age as follows:</w:t>
      </w:r>
    </w:p>
    <w:p w:rsidR="0038059B" w:rsidP="0038059B" w14:paraId="718AD6F2" w14:textId="77777777">
      <w:pPr>
        <w:pStyle w:val="Bodytext2"/>
      </w:pPr>
    </w:p>
    <w:tbl>
      <w:tblPr>
        <w:tblStyle w:val="TableNormal"/>
        <w:tblCaption w:val="table_plan_participants"/>
        <w:tblW w:w="7335" w:type="dxa"/>
        <w:tblLayout w:type="fixed"/>
        <w:tblLook w:val="0600"/>
      </w:tblPr>
      <w:tblGrid>
        <w:gridCol w:w="3960"/>
        <w:gridCol w:w="1125"/>
        <w:gridCol w:w="1125"/>
        <w:gridCol w:w="1125"/>
      </w:tblGrid>
      <w:tr>
        <w:tblPrEx>
          <w:tblW w:w="7335" w:type="dxa"/>
          <w:tblLayout w:type="fixed"/>
          <w:tblLook w:val="0600"/>
        </w:tblPrEx>
        <w:trPr>
          <w:trHeight w:val="240"/>
        </w:trPr>
        <w:tc>
          <w:tcPr>
            <w:tcW w:w="396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Plan participants retiring at the end of the financial period:</w:t>
            </w:r>
          </w:p>
        </w:tc>
        <w:tc>
          <w:tcPr>
            <w:tcW w:w="112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Male</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17.3</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Female</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19.8</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Plan participants retiring 20 years after the end of the financial period:</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Male</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Female</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19.1</w:t>
            </w:r>
          </w:p>
        </w:tc>
      </w:tr>
    </w:tbl>
    <w:p w:rsidR="0038059B" w:rsidRPr="00A07F4C" w:rsidP="0038059B" w14:paraId="1BB02EFE" w14:textId="77777777">
      <w:pPr>
        <w:pStyle w:val="Bodytext2"/>
        <w:rPr>
          <w:lang w:val="en-GB"/>
        </w:rPr>
      </w:pPr>
    </w:p>
    <w:p w:rsidR="0038059B" w:rsidP="0038059B" w14:paraId="26411326" w14:textId="1A0E4119">
      <w:pPr>
        <w:pStyle w:val="Bodytext2"/>
        <w:rPr>
          <w:lang w:val="en-GB"/>
        </w:rPr>
      </w:pPr>
      <w:r w:rsidRPr="00227F40">
        <w:rPr>
          <w:lang w:val="en-GB"/>
        </w:rPr>
        <w:t>The following table pre</w:t>
      </w:r>
      <w:r w:rsidRPr="00227F40">
        <w:rPr>
          <w:lang w:val="en-GB"/>
        </w:rPr>
        <w:t>sents a sensitivity analysis for each significant actuarial assumption showing how the defined benefit obligation would have been affected by changes in the relevant actuarial assumption that were reasonably possible at the end of the financial period. Thi</w:t>
      </w:r>
      <w:r w:rsidRPr="00227F40">
        <w:rPr>
          <w:lang w:val="en-GB"/>
        </w:rPr>
        <w:t>s sensitivity analysis applies to the defined benefit obligation only and not to the net defined benefit pension liability in its entirety.</w:t>
      </w:r>
    </w:p>
    <w:p w:rsidR="00227F40" w:rsidRPr="00227F40" w:rsidP="0038059B" w14:paraId="5C43651F" w14:textId="77777777">
      <w:pPr>
        <w:pStyle w:val="Bodytext2"/>
        <w:rPr>
          <w:lang w:val="en-GB"/>
        </w:rPr>
      </w:pPr>
    </w:p>
    <w:p w:rsidR="0038059B" w:rsidRPr="00A07F4C" w:rsidP="0038059B" w14:paraId="29886250" w14:textId="3BAA59FD">
      <w:pPr>
        <w:pStyle w:val="Heading13"/>
        <w:rPr>
          <w:lang w:val="en-GB"/>
        </w:rPr>
      </w:pPr>
      <w:r w:rsidRPr="00A07F4C">
        <w:rPr>
          <w:lang w:val="en-GB"/>
        </w:rPr>
        <w:t>S</w:t>
      </w:r>
      <w:r w:rsidRPr="00A07F4C" w:rsidR="002E583E">
        <w:rPr>
          <w:lang w:val="en-GB"/>
        </w:rPr>
        <w:t>ensitivity analysis</w:t>
      </w:r>
    </w:p>
    <w:p w:rsidR="0038059B" w:rsidRPr="00A07F4C" w:rsidP="0038059B" w14:paraId="703051CE" w14:textId="77777777">
      <w:pPr>
        <w:pStyle w:val="Bodytext2"/>
        <w:rPr>
          <w:lang w:val="en-GB"/>
        </w:rPr>
      </w:pPr>
    </w:p>
    <w:tbl>
      <w:tblPr>
        <w:tblStyle w:val="TableNormal"/>
        <w:tblCaption w:val="table_pension_sensitivity"/>
        <w:tblW w:w="7335" w:type="dxa"/>
        <w:tblLayout w:type="fixed"/>
        <w:tblLook w:val="0600"/>
      </w:tblPr>
      <w:tblGrid>
        <w:gridCol w:w="3960"/>
        <w:gridCol w:w="1125"/>
        <w:gridCol w:w="1125"/>
        <w:gridCol w:w="1125"/>
      </w:tblGrid>
      <w:tr>
        <w:tblPrEx>
          <w:tblW w:w="7335" w:type="dxa"/>
          <w:tblLayout w:type="fixed"/>
          <w:tblLook w:val="0600"/>
        </w:tblPrEx>
        <w:trPr>
          <w:trHeight w:val="240"/>
        </w:trPr>
        <w:tc>
          <w:tcPr>
            <w:tcW w:w="396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12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2250" w:type="dxa"/>
            <w:gridSpan w:val="2"/>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Effect to defined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benefit obligation, MEUR</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Change in assumption</w:t>
            </w:r>
          </w:p>
        </w:tc>
        <w:tc>
          <w:tcPr>
            <w:tcW w:w="11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1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96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Discount rate</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increase 1%</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-37</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96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Discount rate</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 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48</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96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Future salary growth</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increase 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96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Future salary growth</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 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96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Future pension growth</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increase 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96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Future pension growth</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decrease 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w:t>
            </w:r>
          </w:p>
        </w:tc>
      </w:tr>
    </w:tbl>
    <w:p w:rsidR="0038059B" w:rsidRPr="00A07F4C" w:rsidP="0038059B" w14:paraId="0F4343AC" w14:textId="17CA8E1D">
      <w:pPr>
        <w:pStyle w:val="Bodytext2"/>
        <w:rPr>
          <w:sz w:val="2"/>
          <w:szCs w:val="2"/>
          <w:lang w:val="en-GB"/>
        </w:rPr>
      </w:pPr>
      <w:r w:rsidRPr="00A07F4C">
        <w:rPr>
          <w:lang w:val="en-GB"/>
        </w:rPr>
        <w:br w:type="column"/>
      </w:r>
    </w:p>
    <w:p w:rsidR="007801D2" w:rsidP="004A54F0" w14:paraId="42BD876A" w14:textId="078D77E7">
      <w:pPr>
        <w:pStyle w:val="Heading11"/>
        <w:pageBreakBefore/>
      </w:pPr>
      <w:bookmarkStart w:id="1480" w:name="RG_MARKER_7254"/>
      <w:bookmarkStart w:id="1481" w:name="RG_MARKER_7320"/>
      <w:r>
        <w:rPr>
          <w:noProof/>
        </w:rPr>
        <w:drawing>
          <wp:anchor distT="0" distB="0" distL="114300" distR="114300" simplePos="0" relativeHeight="251672576" behindDoc="1" locked="0" layoutInCell="1" allowOverlap="1">
            <wp:simplePos x="0" y="0"/>
            <wp:positionH relativeFrom="page">
              <wp:posOffset>0</wp:posOffset>
            </wp:positionH>
            <wp:positionV relativeFrom="page">
              <wp:posOffset>1155940</wp:posOffset>
            </wp:positionV>
            <wp:extent cx="5115600" cy="5580000"/>
            <wp:effectExtent l="0" t="0" r="8890" b="1905"/>
            <wp:wrapNone/>
            <wp:docPr id="575280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888912" name="Picture 1"/>
                    <pic:cNvPicPr/>
                  </pic:nvPicPr>
                  <pic:blipFill>
                    <a:blip xmlns:r="http://schemas.openxmlformats.org/officeDocument/2006/relationships" r:embed="rId56">
                      <a:extLst>
                        <a:ext xmlns:a="http://schemas.openxmlformats.org/drawingml/2006/main" uri="{28A0092B-C50C-407E-A947-70E740481C1C}">
                          <a14:useLocalDpi xmlns:a14="http://schemas.microsoft.com/office/drawing/2010/main" val="0"/>
                        </a:ext>
                      </a:extLst>
                    </a:blip>
                    <a:stretch>
                      <a:fillRect/>
                    </a:stretch>
                  </pic:blipFill>
                  <pic:spPr>
                    <a:xfrm>
                      <a:off x="0" y="0"/>
                      <a:ext cx="5115600" cy="5580000"/>
                    </a:xfrm>
                    <a:prstGeom prst="rect">
                      <a:avLst/>
                    </a:prstGeom>
                  </pic:spPr>
                </pic:pic>
              </a:graphicData>
            </a:graphic>
            <wp14:sizeRelH relativeFrom="page">
              <wp14:pctWidth>0</wp14:pctWidth>
            </wp14:sizeRelH>
            <wp14:sizeRelV relativeFrom="page">
              <wp14:pctHeight>0</wp14:pctHeight>
            </wp14:sizeRelV>
          </wp:anchor>
        </w:drawing>
      </w:r>
      <w:bookmarkEnd w:id="1481"/>
      <w:bookmarkEnd w:id="1480"/>
    </w:p>
    <w:p w:rsidR="007801D2" w:rsidP="004A54F0" w14:paraId="46CF5D47" w14:textId="77777777">
      <w:pPr>
        <w:pStyle w:val="Heading11"/>
      </w:pPr>
    </w:p>
    <w:p w:rsidR="007801D2" w:rsidP="004A54F0" w14:paraId="02640A26" w14:textId="77777777">
      <w:pPr>
        <w:pStyle w:val="Heading11"/>
      </w:pPr>
    </w:p>
    <w:p w:rsidR="007801D2" w:rsidP="004A54F0" w14:paraId="5DAC6716" w14:textId="77777777">
      <w:pPr>
        <w:pStyle w:val="Heading11"/>
      </w:pPr>
    </w:p>
    <w:p w:rsidR="007801D2" w:rsidP="004A54F0" w14:paraId="40FEEFEA" w14:textId="77777777">
      <w:pPr>
        <w:pStyle w:val="Heading11"/>
      </w:pPr>
    </w:p>
    <w:p w:rsidR="007801D2" w:rsidP="004A54F0" w14:paraId="29EDA87C" w14:textId="77777777">
      <w:pPr>
        <w:pStyle w:val="Heading11"/>
      </w:pPr>
    </w:p>
    <w:p w:rsidR="007801D2" w:rsidP="004A54F0" w14:paraId="57CB3CEE" w14:textId="77777777">
      <w:pPr>
        <w:pStyle w:val="Heading11"/>
      </w:pPr>
    </w:p>
    <w:p w:rsidR="007801D2" w:rsidP="004A54F0" w14:paraId="6EDD983E" w14:textId="77777777">
      <w:pPr>
        <w:pStyle w:val="Heading11"/>
      </w:pPr>
    </w:p>
    <w:p w:rsidR="007801D2" w:rsidP="004A54F0" w14:paraId="4DB9F398" w14:textId="77777777">
      <w:pPr>
        <w:pStyle w:val="Heading11"/>
      </w:pPr>
    </w:p>
    <w:p w:rsidR="007801D2" w:rsidP="004A54F0" w14:paraId="5D8F7625" w14:textId="77777777">
      <w:pPr>
        <w:pStyle w:val="Heading11"/>
      </w:pPr>
    </w:p>
    <w:p w:rsidR="007801D2" w:rsidP="004A54F0" w14:paraId="1882906E" w14:textId="77777777">
      <w:pPr>
        <w:pStyle w:val="Heading11"/>
      </w:pPr>
    </w:p>
    <w:p w:rsidR="007801D2" w:rsidP="004A54F0" w14:paraId="5EE621F1" w14:textId="77777777">
      <w:pPr>
        <w:pStyle w:val="Heading11"/>
      </w:pPr>
    </w:p>
    <w:p w:rsidR="007801D2" w:rsidP="004A54F0" w14:paraId="49D8A3C6" w14:textId="77777777">
      <w:pPr>
        <w:pStyle w:val="Heading11"/>
      </w:pPr>
    </w:p>
    <w:p w:rsidR="007801D2" w:rsidP="004A54F0" w14:paraId="52C697DB" w14:textId="77777777">
      <w:pPr>
        <w:pStyle w:val="Heading11"/>
      </w:pPr>
    </w:p>
    <w:p w:rsidR="007801D2" w:rsidP="004A54F0" w14:paraId="0990654B" w14:textId="77777777">
      <w:pPr>
        <w:pStyle w:val="Heading11"/>
      </w:pPr>
    </w:p>
    <w:p w:rsidR="007801D2" w:rsidP="004A54F0" w14:paraId="7B9B6326" w14:textId="77777777">
      <w:pPr>
        <w:pStyle w:val="Heading11"/>
      </w:pPr>
    </w:p>
    <w:p w:rsidR="007801D2" w:rsidP="004A54F0" w14:paraId="565EE5DF" w14:textId="77777777">
      <w:pPr>
        <w:pStyle w:val="Heading11"/>
      </w:pPr>
    </w:p>
    <w:p w:rsidR="004A54F0" w:rsidP="004A54F0" w14:paraId="123DF5FA" w14:textId="224D86F6">
      <w:pPr>
        <w:pStyle w:val="Heading11"/>
      </w:pPr>
      <w:r>
        <w:t>5. CAPITAL STRUCTURE AND FINANCIAL ITEMS</w:t>
      </w:r>
    </w:p>
    <w:p w:rsidR="00DA3B0D" w:rsidP="00DA3B0D" w14:paraId="17D45C33" w14:textId="5768033C">
      <w:pPr>
        <w:pStyle w:val="Heading12"/>
        <w:rPr>
          <w:b w:val="0"/>
        </w:rPr>
      </w:pPr>
      <w:r>
        <w:rPr>
          <w:noProof/>
        </w:rPr>
        <mc:AlternateContent>
          <mc:Choice Requires="wps">
            <w:drawing>
              <wp:anchor distT="0" distB="0" distL="114300" distR="114300" simplePos="0" relativeHeight="251701248" behindDoc="0" locked="0" layoutInCell="1" allowOverlap="1">
                <wp:simplePos x="0" y="0"/>
                <wp:positionH relativeFrom="column">
                  <wp:posOffset>0</wp:posOffset>
                </wp:positionH>
                <wp:positionV relativeFrom="paragraph">
                  <wp:posOffset>53975</wp:posOffset>
                </wp:positionV>
                <wp:extent cx="4679950" cy="0"/>
                <wp:effectExtent l="19050" t="19050" r="25400" b="19050"/>
                <wp:wrapNone/>
                <wp:docPr id="1292333356" name="Straight Connector 3"/>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3" o:spid="_x0000_s1041" style="mso-height-percent:0;mso-height-relative:page;mso-width-percent:0;mso-width-relative:margin;mso-wrap-distance-bottom:0;mso-wrap-distance-left:9pt;mso-wrap-distance-right:9pt;mso-wrap-distance-top:0;position:absolute;v-text-anchor:top;z-index:251700224" from="0,4.25pt" to="368.5pt,4.25pt" fillcolor="this" stroked="t" strokecolor="#99b7c4" strokeweight="2.25pt">
                <v:stroke endcap="round"/>
              </v:line>
            </w:pict>
          </mc:Fallback>
        </mc:AlternateContent>
      </w:r>
    </w:p>
    <w:p w:rsidR="00DA3B0D" w:rsidP="00DA3B0D" w14:paraId="48E1BD7C" w14:textId="77777777">
      <w:pPr>
        <w:pStyle w:val="Heading12"/>
        <w:rPr>
          <w:b w:val="0"/>
          <w:bCs/>
          <w:color w:val="99B7C4"/>
        </w:rPr>
      </w:pPr>
      <w:r>
        <w:rPr>
          <w:b w:val="0"/>
          <w:bCs/>
          <w:color w:val="99B7C4"/>
        </w:rPr>
        <w:t>Content in this section:</w:t>
      </w:r>
    </w:p>
    <w:p w:rsidR="00DA3B0D" w:rsidP="00DA3B0D" w14:paraId="172F174A" w14:textId="77777777">
      <w:pPr>
        <w:pStyle w:val="Heading12"/>
        <w:ind w:left="284"/>
        <w:rPr>
          <w:color w:val="99B7C4"/>
          <w:sz w:val="12"/>
          <w:szCs w:val="12"/>
        </w:rPr>
      </w:pPr>
    </w:p>
    <w:p w:rsidR="00DA3B0D" w:rsidP="00DA3B0D" w14:paraId="049D322D" w14:textId="2D8AFBC4">
      <w:pPr>
        <w:pStyle w:val="Heading12"/>
        <w:ind w:left="284"/>
        <w:rPr>
          <w:color w:val="99B7C4"/>
        </w:rPr>
      </w:pPr>
      <w:r>
        <w:rPr>
          <w:color w:val="99B7C4"/>
        </w:rPr>
        <w:t>5</w:t>
      </w:r>
      <w:r>
        <w:rPr>
          <w:color w:val="99B7C4"/>
        </w:rPr>
        <w:t xml:space="preserve">.1. </w:t>
      </w:r>
      <w:r w:rsidR="00071473">
        <w:rPr>
          <w:color w:val="99B7C4"/>
        </w:rPr>
        <w:t>FINANCIAL INCOME AND EXPENSES</w:t>
      </w:r>
    </w:p>
    <w:p w:rsidR="00DA3B0D" w:rsidP="00DA3B0D" w14:paraId="1D9A95FB" w14:textId="7AE2B3C0">
      <w:pPr>
        <w:pStyle w:val="Heading12"/>
        <w:ind w:left="284"/>
        <w:rPr>
          <w:color w:val="99B7C4"/>
        </w:rPr>
      </w:pPr>
      <w:r>
        <w:rPr>
          <w:color w:val="99B7C4"/>
        </w:rPr>
        <w:t>5</w:t>
      </w:r>
      <w:r>
        <w:rPr>
          <w:color w:val="99B7C4"/>
        </w:rPr>
        <w:t xml:space="preserve">.2. </w:t>
      </w:r>
      <w:r w:rsidR="00071473">
        <w:rPr>
          <w:color w:val="99B7C4"/>
        </w:rPr>
        <w:t>FINANCIAL ASSETS AND LIABILITIES BY MEASUREMENT CATEGORY</w:t>
      </w:r>
    </w:p>
    <w:p w:rsidR="00DA3B0D" w:rsidP="00DA3B0D" w14:paraId="4E788969" w14:textId="6BCCEA90">
      <w:pPr>
        <w:pStyle w:val="Heading12"/>
        <w:ind w:left="284"/>
        <w:rPr>
          <w:color w:val="99B7C4"/>
        </w:rPr>
      </w:pPr>
      <w:r>
        <w:rPr>
          <w:color w:val="99B7C4"/>
        </w:rPr>
        <w:t>5</w:t>
      </w:r>
      <w:r>
        <w:rPr>
          <w:color w:val="99B7C4"/>
        </w:rPr>
        <w:t xml:space="preserve">.3. </w:t>
      </w:r>
      <w:r w:rsidR="00071473">
        <w:rPr>
          <w:color w:val="99B7C4"/>
        </w:rPr>
        <w:t>CASH AND CASH EQUIVALENTS</w:t>
      </w:r>
    </w:p>
    <w:p w:rsidR="00DA3B0D" w:rsidP="00DA3B0D" w14:paraId="013C6913" w14:textId="33699486">
      <w:pPr>
        <w:pStyle w:val="Heading12"/>
        <w:ind w:left="284"/>
        <w:rPr>
          <w:color w:val="99B7C4"/>
        </w:rPr>
      </w:pPr>
      <w:r>
        <w:rPr>
          <w:color w:val="99B7C4"/>
        </w:rPr>
        <w:t>5</w:t>
      </w:r>
      <w:r>
        <w:rPr>
          <w:color w:val="99B7C4"/>
        </w:rPr>
        <w:t xml:space="preserve">.4. </w:t>
      </w:r>
      <w:r w:rsidR="00071473">
        <w:rPr>
          <w:color w:val="99B7C4"/>
        </w:rPr>
        <w:t>NET DEBT RECONCILIATION</w:t>
      </w:r>
    </w:p>
    <w:p w:rsidR="00DA3B0D" w:rsidP="00DA3B0D" w14:paraId="0597AEE9" w14:textId="0CDFF875">
      <w:pPr>
        <w:pStyle w:val="Heading12"/>
        <w:ind w:left="284"/>
        <w:rPr>
          <w:color w:val="99B7C4"/>
        </w:rPr>
      </w:pPr>
      <w:r>
        <w:rPr>
          <w:color w:val="99B7C4"/>
        </w:rPr>
        <w:t>5</w:t>
      </w:r>
      <w:r>
        <w:rPr>
          <w:color w:val="99B7C4"/>
        </w:rPr>
        <w:t xml:space="preserve">.5. </w:t>
      </w:r>
      <w:r w:rsidR="00071473">
        <w:rPr>
          <w:color w:val="99B7C4"/>
        </w:rPr>
        <w:t>EQUITY</w:t>
      </w:r>
    </w:p>
    <w:p w:rsidR="00071473" w:rsidP="00071473" w14:paraId="50CA934B" w14:textId="4F879F29">
      <w:pPr>
        <w:pStyle w:val="Heading12"/>
        <w:ind w:left="284"/>
        <w:rPr>
          <w:color w:val="99B7C4"/>
        </w:rPr>
      </w:pPr>
      <w:r>
        <w:rPr>
          <w:color w:val="99B7C4"/>
        </w:rPr>
        <w:t>5.</w:t>
      </w:r>
      <w:r>
        <w:rPr>
          <w:color w:val="99B7C4"/>
        </w:rPr>
        <w:t>6</w:t>
      </w:r>
      <w:r>
        <w:rPr>
          <w:color w:val="99B7C4"/>
        </w:rPr>
        <w:t xml:space="preserve">. </w:t>
      </w:r>
      <w:r>
        <w:rPr>
          <w:color w:val="99B7C4"/>
        </w:rPr>
        <w:t>MATURITY ANALYSIS OF FINANCIAL LIABILITIES</w:t>
      </w:r>
    </w:p>
    <w:p w:rsidR="00071473" w:rsidP="00071473" w14:paraId="06818B80" w14:textId="1FF53F8A">
      <w:pPr>
        <w:pStyle w:val="Heading12"/>
        <w:ind w:left="284"/>
        <w:rPr>
          <w:color w:val="99B7C4"/>
        </w:rPr>
      </w:pPr>
      <w:r>
        <w:rPr>
          <w:color w:val="99B7C4"/>
        </w:rPr>
        <w:t>5.</w:t>
      </w:r>
      <w:r>
        <w:rPr>
          <w:color w:val="99B7C4"/>
        </w:rPr>
        <w:t>7</w:t>
      </w:r>
      <w:r>
        <w:rPr>
          <w:color w:val="99B7C4"/>
        </w:rPr>
        <w:t xml:space="preserve">. </w:t>
      </w:r>
      <w:r>
        <w:rPr>
          <w:color w:val="99B7C4"/>
        </w:rPr>
        <w:t>DERIVATIVE FINANCIAL INSTRUMENTS</w:t>
      </w:r>
    </w:p>
    <w:p w:rsidR="00071473" w:rsidP="00071473" w14:paraId="32D16C84" w14:textId="32D09D99">
      <w:pPr>
        <w:pStyle w:val="Heading12"/>
        <w:ind w:left="284"/>
        <w:rPr>
          <w:color w:val="99B7C4"/>
        </w:rPr>
      </w:pPr>
      <w:r>
        <w:rPr>
          <w:color w:val="99B7C4"/>
        </w:rPr>
        <w:t>5.</w:t>
      </w:r>
      <w:r>
        <w:rPr>
          <w:color w:val="99B7C4"/>
        </w:rPr>
        <w:t>8</w:t>
      </w:r>
      <w:r>
        <w:rPr>
          <w:color w:val="99B7C4"/>
        </w:rPr>
        <w:t xml:space="preserve">. </w:t>
      </w:r>
      <w:r>
        <w:rPr>
          <w:color w:val="99B7C4"/>
        </w:rPr>
        <w:t>FINANCIAL RISKS</w:t>
      </w:r>
    </w:p>
    <w:p w:rsidR="00DA3B0D" w:rsidP="00071473" w14:paraId="271DCC2E" w14:textId="51B7EFF1">
      <w:pPr>
        <w:pStyle w:val="Bodytext2"/>
      </w:pPr>
      <w:r>
        <w:rPr>
          <w:noProof/>
        </w:rPr>
        <mc:AlternateContent>
          <mc:Choice Requires="wps">
            <w:drawing>
              <wp:anchor distT="0" distB="0" distL="114300" distR="114300" simplePos="0" relativeHeight="251686912" behindDoc="0" locked="0" layoutInCell="1" allowOverlap="1">
                <wp:simplePos x="0" y="0"/>
                <wp:positionH relativeFrom="column">
                  <wp:posOffset>0</wp:posOffset>
                </wp:positionH>
                <wp:positionV relativeFrom="paragraph">
                  <wp:posOffset>71755</wp:posOffset>
                </wp:positionV>
                <wp:extent cx="4679950" cy="0"/>
                <wp:effectExtent l="19050" t="19050" r="25400" b="19050"/>
                <wp:wrapNone/>
                <wp:docPr id="1582192185" name="Straight Connector 2"/>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2" o:spid="_x0000_s1042" style="mso-height-percent:0;mso-height-relative:page;mso-width-percent:0;mso-width-relative:margin;mso-wrap-distance-bottom:0;mso-wrap-distance-left:9pt;mso-wrap-distance-right:9pt;mso-wrap-distance-top:0;position:absolute;v-text-anchor:top;z-index:251685888" from="0,5.65pt" to="368.5pt,5.65pt" fillcolor="this" stroked="t" strokecolor="#99b7c4" strokeweight="2.25pt">
                <v:stroke endcap="round"/>
              </v:line>
            </w:pict>
          </mc:Fallback>
        </mc:AlternateContent>
      </w:r>
    </w:p>
    <w:p w:rsidR="00DA3B0D" w:rsidP="00071473" w14:paraId="3D2ED424" w14:textId="77777777">
      <w:pPr>
        <w:pStyle w:val="Bodytext2"/>
        <w:rPr>
          <w:szCs w:val="15"/>
        </w:rPr>
      </w:pPr>
    </w:p>
    <w:p w:rsidR="00DA3B0D" w:rsidRPr="00DA3B0D" w:rsidP="00071473" w14:paraId="133F50E7" w14:textId="77777777">
      <w:pPr>
        <w:pStyle w:val="Bodytext2"/>
      </w:pPr>
    </w:p>
    <w:p w:rsidR="004A54F0" w:rsidP="004A54F0" w14:paraId="4D0AB224" w14:textId="77777777">
      <w:pPr>
        <w:pStyle w:val="Heading12"/>
      </w:pPr>
      <w:r>
        <w:t>5.1. FINANCIAL INCOME AND EXPENSES</w:t>
      </w:r>
    </w:p>
    <w:tbl>
      <w:tblPr>
        <w:tblStyle w:val="TableGrid0"/>
        <w:tblW w:w="7371" w:type="dxa"/>
        <w:tblInd w:w="5" w:type="dxa"/>
        <w:tblLook w:val="04A0"/>
      </w:tblPr>
      <w:tblGrid>
        <w:gridCol w:w="7371"/>
      </w:tblGrid>
      <w:tr w14:paraId="67FDC639" w14:textId="77777777" w:rsidTr="004A54F0">
        <w:tblPrEx>
          <w:tblW w:w="7371" w:type="dxa"/>
          <w:tblInd w:w="5" w:type="dxa"/>
          <w:tblLook w:val="04A0"/>
        </w:tblPrEx>
        <w:tc>
          <w:tcPr>
            <w:tcW w:w="7371" w:type="dxa"/>
            <w:shd w:val="clear" w:color="auto" w:fill="B6C8D1"/>
          </w:tcPr>
          <w:p w:rsidR="004A54F0" w:rsidRPr="00BF4DB4" w:rsidP="004A54F0" w14:paraId="2E60DAD5" w14:textId="77777777">
            <w:pPr>
              <w:pStyle w:val="Heading13"/>
              <w:rPr>
                <w:lang w:val="en-GB"/>
              </w:rPr>
            </w:pPr>
            <w:r w:rsidRPr="00BF4DB4">
              <w:rPr>
                <w:lang w:val="en-GB"/>
              </w:rPr>
              <w:t>Accounting principles</w:t>
            </w:r>
          </w:p>
          <w:p w:rsidR="004A54F0" w:rsidRPr="00BF4DB4" w:rsidP="004A54F0" w14:paraId="05AF7A13" w14:textId="61AFB8F2">
            <w:pPr>
              <w:pStyle w:val="Bodytext2"/>
              <w:rPr>
                <w:lang w:val="en-GB"/>
              </w:rPr>
            </w:pPr>
            <w:r w:rsidRPr="00BF4DB4">
              <w:rPr>
                <w:lang w:val="en-GB"/>
              </w:rPr>
              <w:t>Service cost related to pension plans is recognised in employee benefit expenses and the net interest in financial expenses. Also</w:t>
            </w:r>
            <w:r>
              <w:rPr>
                <w:lang w:val="en-GB"/>
              </w:rPr>
              <w:t>,</w:t>
            </w:r>
            <w:r w:rsidRPr="00BF4DB4">
              <w:rPr>
                <w:lang w:val="en-GB"/>
              </w:rPr>
              <w:t xml:space="preserve"> g</w:t>
            </w:r>
            <w:r w:rsidRPr="00BF4DB4">
              <w:rPr>
                <w:lang w:val="en-GB"/>
              </w:rPr>
              <w:t xml:space="preserve">ains and losses from fair valuation and disposal and impairments of other shares are included in financial income and expenses. </w:t>
            </w:r>
          </w:p>
          <w:p w:rsidR="004A54F0" w:rsidRPr="00BF4DB4" w:rsidP="004A54F0" w14:paraId="37EADA2F" w14:textId="77777777">
            <w:pPr>
              <w:pStyle w:val="Bodytext2"/>
              <w:rPr>
                <w:lang w:val="en-GB"/>
              </w:rPr>
            </w:pPr>
          </w:p>
          <w:p w:rsidR="004A54F0" w:rsidRPr="00042C22" w:rsidP="004A54F0" w14:paraId="47C10827" w14:textId="71E1BA89">
            <w:pPr>
              <w:pStyle w:val="Bodytext2"/>
              <w:rPr>
                <w:lang w:val="en-GB"/>
              </w:rPr>
            </w:pPr>
            <w:bookmarkStart w:id="1482" w:name="_Hlk56591324"/>
            <w:r w:rsidRPr="00BF4DB4">
              <w:rPr>
                <w:lang w:val="en-GB"/>
              </w:rPr>
              <w:t>Changes in the fair value of interest rate hedges against Wärtsilä Group’s loan portfolio are immediately recognised in financ</w:t>
            </w:r>
            <w:r w:rsidRPr="00BF4DB4">
              <w:rPr>
                <w:lang w:val="en-GB"/>
              </w:rPr>
              <w:t xml:space="preserve">ial income or expenses in the statement of income. </w:t>
            </w:r>
            <w:bookmarkEnd w:id="1482"/>
            <w:r w:rsidRPr="00BF4DB4">
              <w:rPr>
                <w:lang w:val="en-GB"/>
              </w:rPr>
              <w:t>The fair value of interest rate swaps is calculated by discounting the future cash flows.</w:t>
            </w:r>
          </w:p>
          <w:p w:rsidR="004A54F0" w:rsidRPr="00042C22" w:rsidP="004A54F0" w14:paraId="53629A28" w14:textId="77777777">
            <w:pPr>
              <w:pStyle w:val="Bodytext2"/>
              <w:rPr>
                <w:lang w:val="en-GB"/>
              </w:rPr>
            </w:pPr>
          </w:p>
          <w:p w:rsidR="004A54F0" w:rsidRPr="00042C22" w:rsidP="004A54F0" w14:paraId="08C0D025" w14:textId="77777777">
            <w:pPr>
              <w:pStyle w:val="Bodytext2"/>
              <w:rPr>
                <w:lang w:val="en-GB"/>
              </w:rPr>
            </w:pPr>
            <w:r w:rsidRPr="00042C22">
              <w:rPr>
                <w:lang w:val="en-GB"/>
              </w:rPr>
              <w:t>Exchange rate differences related to financial assets and financial liabilities are reported as financial items in</w:t>
            </w:r>
            <w:r w:rsidRPr="00042C22">
              <w:rPr>
                <w:lang w:val="en-GB"/>
              </w:rPr>
              <w:t xml:space="preserve"> the statement of income, except exchange rate differences related to non-current debt that is part of the Group's net investment in a subsidiary.</w:t>
            </w:r>
          </w:p>
        </w:tc>
      </w:tr>
    </w:tbl>
    <w:p w:rsidR="004A54F0" w:rsidP="004A54F0" w14:paraId="0DAA6E0C" w14:textId="77777777">
      <w:pPr>
        <w:pStyle w:val="Bodytext2"/>
      </w:pPr>
    </w:p>
    <w:tbl>
      <w:tblPr>
        <w:tblStyle w:val="TableNormal"/>
        <w:tblCaption w:val="table_51"/>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income on loans and receivables</w:t>
            </w:r>
          </w:p>
        </w:tc>
        <w:tc>
          <w:tcPr>
            <w:tcW w:w="12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2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income on financial assets at fair value through the statement of income</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income on investments at amortised cost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fair values of financial assets/liabilities at fair value through the statement of income</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financial income</w:t>
            </w:r>
          </w:p>
        </w:tc>
        <w:tc>
          <w:tcPr>
            <w:tcW w:w="1245"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financial income</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expenses on financial liabilities recognised at amortised cost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expenses on lease liabilities recognised at amortised cost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expenses on financial liabilities at fair value through the statement of income</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Net interest from defined benefit plans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fair values of financial assets/liabilities at fair value through the statement of income</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Exchange rate differences*</w:t>
            </w:r>
          </w:p>
        </w:tc>
        <w:tc>
          <w:tcPr>
            <w:tcW w:w="12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2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Fee expenses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financial expenses</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financial expenses</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-33</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w:t>
            </w:r>
          </w:p>
        </w:tc>
      </w:tr>
    </w:tbl>
    <w:p w:rsidR="004A54F0" w:rsidP="004A54F0" w14:paraId="38E686AB" w14:textId="77777777">
      <w:pPr>
        <w:pStyle w:val="Bodytext2"/>
      </w:pPr>
    </w:p>
    <w:p w:rsidR="004A54F0" w:rsidP="004A54F0" w14:paraId="7EC932BF" w14:textId="4219C4D6">
      <w:pPr>
        <w:pStyle w:val="Bodytext2"/>
      </w:pPr>
      <w:r>
        <w:t xml:space="preserve">* In 2020, the result from the ineffective portion of cash flow hedges related to cancelled </w:t>
      </w:r>
      <w:r w:rsidRPr="00BF4DB4">
        <w:t>projects</w:t>
      </w:r>
      <w:r>
        <w:t xml:space="preserve">, EUR </w:t>
      </w:r>
      <w:r w:rsidR="00497309">
        <w:t>-</w:t>
      </w:r>
      <w:r>
        <w:t xml:space="preserve">1 </w:t>
      </w:r>
      <w:r w:rsidRPr="00475B1F">
        <w:t>million, and</w:t>
      </w:r>
      <w:r>
        <w:t xml:space="preserve"> in 2021,</w:t>
      </w:r>
      <w:r w:rsidRPr="00475B1F">
        <w:t xml:space="preserve"> exchange rate differences from unhedged internal loans, EUR </w:t>
      </w:r>
      <w:r w:rsidRPr="00475B1F" w:rsidR="001D49D8">
        <w:t>-</w:t>
      </w:r>
      <w:r>
        <w:t>3</w:t>
      </w:r>
      <w:r w:rsidRPr="00475B1F">
        <w:t xml:space="preserve"> million (-</w:t>
      </w:r>
      <w:r>
        <w:t>10</w:t>
      </w:r>
      <w:r w:rsidRPr="00475B1F">
        <w:t>) were</w:t>
      </w:r>
      <w:r>
        <w:t xml:space="preserve"> included in exchange rate differences.</w:t>
      </w:r>
    </w:p>
    <w:p/>
    <w:p w:rsidR="002A103C" w:rsidP="002A103C" w14:paraId="60B564DB" w14:textId="77777777">
      <w:pPr>
        <w:pStyle w:val="Heading12"/>
      </w:pPr>
      <w:bookmarkStart w:id="1483" w:name="RG_MARKER_7321"/>
      <w:r>
        <w:t>5.2. FINANCIAL ASSETS AND LIABILITIES BY MEASUREMENT CATEGORY</w:t>
      </w:r>
      <w:bookmarkEnd w:id="1483"/>
    </w:p>
    <w:tbl>
      <w:tblPr>
        <w:tblStyle w:val="TableGrid"/>
        <w:tblW w:w="7371" w:type="dxa"/>
        <w:tblLook w:val="04A0"/>
      </w:tblPr>
      <w:tblGrid>
        <w:gridCol w:w="7371"/>
      </w:tblGrid>
      <w:tr w14:paraId="29A67594" w14:textId="77777777" w:rsidTr="002A103C">
        <w:tblPrEx>
          <w:tblW w:w="7371" w:type="dxa"/>
          <w:tblLook w:val="04A0"/>
        </w:tblPrEx>
        <w:tc>
          <w:tcPr>
            <w:tcW w:w="7371" w:type="dxa"/>
            <w:tcBorders>
              <w:top w:val="nil"/>
              <w:left w:val="nil"/>
              <w:bottom w:val="nil"/>
              <w:right w:val="nil"/>
            </w:tcBorders>
            <w:shd w:val="clear" w:color="auto" w:fill="B6C8D1"/>
          </w:tcPr>
          <w:p w:rsidR="002A103C" w:rsidRPr="00575BD7" w:rsidP="002A103C" w14:paraId="29EAFD73" w14:textId="77777777">
            <w:pPr>
              <w:pStyle w:val="Heading13"/>
              <w:rPr>
                <w:lang w:val="en-GB"/>
              </w:rPr>
            </w:pPr>
            <w:r w:rsidRPr="004A5435">
              <w:rPr>
                <w:lang w:val="en-GB"/>
              </w:rPr>
              <w:t>Accounting principles</w:t>
            </w:r>
          </w:p>
          <w:p w:rsidR="002A103C" w:rsidRPr="00575BD7" w:rsidP="002A103C" w14:paraId="370A0117" w14:textId="77777777">
            <w:pPr>
              <w:pStyle w:val="Heading13"/>
              <w:rPr>
                <w:lang w:val="en-GB"/>
              </w:rPr>
            </w:pPr>
            <w:r w:rsidRPr="00575BD7">
              <w:rPr>
                <w:lang w:val="en-GB"/>
              </w:rPr>
              <w:t>Financial instruments</w:t>
            </w:r>
          </w:p>
          <w:p w:rsidR="002A103C" w:rsidRPr="00D01C1F" w:rsidP="00C12360" w14:paraId="15D8A0CE" w14:textId="76BA9C8F">
            <w:pPr>
              <w:pStyle w:val="Bodytext2"/>
              <w:rPr>
                <w:lang w:val="en-GB"/>
              </w:rPr>
            </w:pPr>
            <w:r w:rsidRPr="00D01C1F">
              <w:rPr>
                <w:lang w:val="en-GB"/>
              </w:rPr>
              <w:t>Financial instruments are initially recognised at fair value</w:t>
            </w:r>
            <w:r w:rsidRPr="00D01C1F">
              <w:rPr>
                <w:lang w:val="en-GB"/>
              </w:rPr>
              <w:t xml:space="preserve">. Subsequently, financial assets are classified and measured at amortised cost, at fair value through statement of income, or at fair value through other comprehensive income. The classification of financial assets is defined by the business model and the </w:t>
            </w:r>
            <w:r w:rsidRPr="00D01C1F">
              <w:rPr>
                <w:lang w:val="en-GB"/>
              </w:rPr>
              <w:t>cash flow characteristics of the asset. Financial liabilities are subsequently classified and measured at amortised cost or at fair value through statement of income.</w:t>
            </w:r>
          </w:p>
          <w:p w:rsidR="002A103C" w:rsidRPr="00D01C1F" w:rsidP="00C12360" w14:paraId="329DC352" w14:textId="77777777">
            <w:pPr>
              <w:pStyle w:val="Bodytext2"/>
              <w:rPr>
                <w:lang w:val="en-GB"/>
              </w:rPr>
            </w:pPr>
          </w:p>
          <w:p w:rsidR="002A103C" w:rsidRPr="00D01C1F" w:rsidP="00C12360" w14:paraId="695AFB60" w14:textId="0DA165A0">
            <w:pPr>
              <w:pStyle w:val="Bodytext2"/>
              <w:rPr>
                <w:lang w:val="en-GB"/>
              </w:rPr>
            </w:pPr>
            <w:r w:rsidRPr="00D01C1F">
              <w:rPr>
                <w:lang w:val="en-GB"/>
              </w:rPr>
              <w:t>Financial instruments are classified as current financial instruments unless the maturit</w:t>
            </w:r>
            <w:r w:rsidRPr="00D01C1F">
              <w:rPr>
                <w:lang w:val="en-GB"/>
              </w:rPr>
              <w:t>y of the financial instrument exceeds 12 months from the reporting date. Financial instruments are derecognised only when the financial instrument is extinguished, or when the contractually specified right or obligation is discharged, cancelled, or when it</w:t>
            </w:r>
            <w:r w:rsidRPr="00D01C1F">
              <w:rPr>
                <w:lang w:val="en-GB"/>
              </w:rPr>
              <w:t xml:space="preserve"> expires. The status of financial instruments is evaluated at each reporting date.</w:t>
            </w:r>
          </w:p>
          <w:p w:rsidR="002A103C" w:rsidRPr="00D01C1F" w:rsidP="00C12360" w14:paraId="626A82DD" w14:textId="77777777">
            <w:pPr>
              <w:pStyle w:val="Bodytext2"/>
              <w:rPr>
                <w:lang w:val="en-GB"/>
              </w:rPr>
            </w:pPr>
          </w:p>
          <w:p w:rsidR="002A103C" w:rsidRPr="00575BD7" w:rsidP="002A103C" w14:paraId="2B2B5531" w14:textId="77777777">
            <w:pPr>
              <w:pStyle w:val="Heading13"/>
              <w:rPr>
                <w:lang w:val="en-GB"/>
              </w:rPr>
            </w:pPr>
            <w:r w:rsidRPr="00575BD7">
              <w:rPr>
                <w:lang w:val="en-GB"/>
              </w:rPr>
              <w:t>Financial instruments at amortised cost</w:t>
            </w:r>
          </w:p>
          <w:p w:rsidR="002A103C" w:rsidRPr="00575BD7" w:rsidP="002A103C" w14:paraId="38700AC6" w14:textId="77777777">
            <w:pPr>
              <w:pStyle w:val="Heading13"/>
              <w:rPr>
                <w:lang w:val="en-GB"/>
              </w:rPr>
            </w:pPr>
            <w:r w:rsidRPr="00575BD7">
              <w:rPr>
                <w:lang w:val="en-GB"/>
              </w:rPr>
              <w:t>Financial assets</w:t>
            </w:r>
          </w:p>
          <w:p w:rsidR="002A103C" w:rsidRPr="00D01C1F" w:rsidP="00C12360" w14:paraId="3D5A1CD4" w14:textId="24610F12">
            <w:pPr>
              <w:pStyle w:val="Bodytext2"/>
              <w:rPr>
                <w:lang w:val="en-GB"/>
              </w:rPr>
            </w:pPr>
            <w:r w:rsidRPr="00D01C1F">
              <w:rPr>
                <w:lang w:val="en-GB"/>
              </w:rPr>
              <w:t>Financial assets measured at amortised cost include cash and cash equivalents, investments in debt instruments, com</w:t>
            </w:r>
            <w:r w:rsidRPr="00D01C1F">
              <w:rPr>
                <w:lang w:val="en-GB"/>
              </w:rPr>
              <w:t>mercial papers, trade receivables and other receivables. The assets are initially recognised at fair value less the transaction costs, and are subsequently measured at amortised cost by using the effective interest rate method. These assets are held for co</w:t>
            </w:r>
            <w:r w:rsidRPr="00D01C1F">
              <w:rPr>
                <w:lang w:val="en-GB"/>
              </w:rPr>
              <w:t>llecting contractual cash flows, which are solely payments of principal and interest. Interest income is recognised as financial income in the statement of income.</w:t>
            </w:r>
          </w:p>
          <w:p w:rsidR="002A103C" w:rsidRPr="00D01C1F" w:rsidP="00C12360" w14:paraId="4510D51F" w14:textId="77777777">
            <w:pPr>
              <w:pStyle w:val="Bodytext2"/>
              <w:rPr>
                <w:lang w:val="en-GB"/>
              </w:rPr>
            </w:pPr>
          </w:p>
          <w:p w:rsidR="002A103C" w:rsidRPr="00D01C1F" w:rsidP="00C12360" w14:paraId="31CCD384" w14:textId="4937634A">
            <w:pPr>
              <w:pStyle w:val="Bodytext2"/>
              <w:rPr>
                <w:lang w:val="en-GB"/>
              </w:rPr>
            </w:pPr>
            <w:r w:rsidRPr="00D01C1F">
              <w:rPr>
                <w:lang w:val="en-GB"/>
              </w:rPr>
              <w:t>The Group applies the simplified method in IFRS 9 for the expected credit losses from its t</w:t>
            </w:r>
            <w:r w:rsidRPr="00D01C1F">
              <w:rPr>
                <w:lang w:val="en-GB"/>
              </w:rPr>
              <w:t>rade receivables. This requires expected lifetime credit losses to be recognised from the initial recognition of the receivables, as defined in Note 4.2. Trade receivables and contract assets and liabilities.</w:t>
            </w:r>
          </w:p>
          <w:p w:rsidR="002A103C" w:rsidRPr="00D01C1F" w:rsidP="00C12360" w14:paraId="19DB2CD9" w14:textId="77777777">
            <w:pPr>
              <w:pStyle w:val="Bodytext2"/>
              <w:rPr>
                <w:lang w:val="en-GB"/>
              </w:rPr>
            </w:pPr>
          </w:p>
          <w:p w:rsidR="002A103C" w:rsidRPr="00575BD7" w:rsidP="002A103C" w14:paraId="085435A9" w14:textId="77777777">
            <w:pPr>
              <w:pStyle w:val="Heading13"/>
              <w:rPr>
                <w:lang w:val="en-GB"/>
              </w:rPr>
            </w:pPr>
            <w:r w:rsidRPr="00575BD7">
              <w:rPr>
                <w:lang w:val="en-GB"/>
              </w:rPr>
              <w:t>Financial Liabilities</w:t>
            </w:r>
          </w:p>
          <w:p w:rsidR="002A103C" w:rsidP="00C12360" w14:paraId="5D7463EE" w14:textId="18EDE0AA">
            <w:pPr>
              <w:pStyle w:val="Bodytext2"/>
              <w:rPr>
                <w:lang w:val="en-GB"/>
              </w:rPr>
            </w:pPr>
            <w:r w:rsidRPr="00D01C1F">
              <w:rPr>
                <w:lang w:val="en-GB"/>
              </w:rPr>
              <w:t>Financial liabilities me</w:t>
            </w:r>
            <w:r w:rsidRPr="00D01C1F">
              <w:rPr>
                <w:lang w:val="en-GB"/>
              </w:rPr>
              <w:t>asured at amortised cost include trade and other payables, loans, and borrowings. These liabilities are initially recognised at fair value less the transaction costs related to the acquisition of these liabilities. The liabilities are subsequently classifi</w:t>
            </w:r>
            <w:r w:rsidRPr="00D01C1F">
              <w:rPr>
                <w:lang w:val="en-GB"/>
              </w:rPr>
              <w:t>ed and measured using the effective interest rate method by amortising the discounted interest payments over the maturity of the liabilities. Interest expense is recognised in the financial expense in the statement of income.</w:t>
            </w:r>
          </w:p>
          <w:p w:rsidR="00D01C1F" w:rsidRPr="00D01C1F" w:rsidP="00C12360" w14:paraId="746B10E2" w14:textId="77777777">
            <w:pPr>
              <w:pStyle w:val="Bodytext2"/>
              <w:rPr>
                <w:lang w:val="en-GB"/>
              </w:rPr>
            </w:pPr>
          </w:p>
          <w:p w:rsidR="002A103C" w:rsidRPr="00575BD7" w:rsidP="002A103C" w14:paraId="552A9CCB" w14:textId="77777777">
            <w:pPr>
              <w:pStyle w:val="Heading13"/>
              <w:rPr>
                <w:lang w:val="en-GB"/>
              </w:rPr>
            </w:pPr>
            <w:r w:rsidRPr="00575BD7">
              <w:rPr>
                <w:lang w:val="en-GB"/>
              </w:rPr>
              <w:t>Financial instruments at fair</w:t>
            </w:r>
            <w:r w:rsidRPr="00575BD7">
              <w:rPr>
                <w:lang w:val="en-GB"/>
              </w:rPr>
              <w:t xml:space="preserve"> value through the statement of income</w:t>
            </w:r>
          </w:p>
          <w:p w:rsidR="002A103C" w:rsidRPr="00575BD7" w:rsidP="002A103C" w14:paraId="5ECDF0D6" w14:textId="77777777">
            <w:pPr>
              <w:pStyle w:val="Heading13"/>
              <w:rPr>
                <w:lang w:val="en-GB"/>
              </w:rPr>
            </w:pPr>
            <w:r w:rsidRPr="00575BD7">
              <w:rPr>
                <w:lang w:val="en-GB"/>
              </w:rPr>
              <w:t>Financial assets</w:t>
            </w:r>
          </w:p>
          <w:p w:rsidR="002A103C" w:rsidRPr="00D01C1F" w:rsidP="00C12360" w14:paraId="1D9D1A76" w14:textId="77777777">
            <w:pPr>
              <w:pStyle w:val="Bodytext2"/>
              <w:rPr>
                <w:lang w:val="en-GB"/>
              </w:rPr>
            </w:pPr>
            <w:r w:rsidRPr="00D01C1F">
              <w:rPr>
                <w:lang w:val="en-GB"/>
              </w:rPr>
              <w:t>Financial assets measured at fair value through the statement of income include other financial investments, other short-term cash investments and derivatives, which are not included in the hedge acco</w:t>
            </w:r>
            <w:r w:rsidRPr="00D01C1F">
              <w:rPr>
                <w:lang w:val="en-GB"/>
              </w:rPr>
              <w:t>unting. These financial investments include Wärtsilä’s investments in other companies (both listed and unlisted shares).</w:t>
            </w:r>
          </w:p>
          <w:p w:rsidR="002A103C" w:rsidRPr="00D01C1F" w:rsidP="00C12360" w14:paraId="2F0CD6BE" w14:textId="77777777">
            <w:pPr>
              <w:pStyle w:val="Bodytext2"/>
              <w:rPr>
                <w:lang w:val="en-GB"/>
              </w:rPr>
            </w:pPr>
          </w:p>
          <w:p w:rsidR="002A103C" w:rsidRPr="00D01C1F" w:rsidP="00C12360" w14:paraId="1A970181" w14:textId="156998D8">
            <w:pPr>
              <w:pStyle w:val="Bodytext2"/>
              <w:rPr>
                <w:lang w:val="en-GB"/>
              </w:rPr>
            </w:pPr>
            <w:r w:rsidRPr="00D01C1F">
              <w:rPr>
                <w:lang w:val="en-GB"/>
              </w:rPr>
              <w:t>Changes in fair value and gains and losses at derecognition of these financial assets are recognised in the statement of income.</w:t>
            </w:r>
          </w:p>
          <w:p w:rsidR="002A103C" w:rsidRPr="00D01C1F" w:rsidP="00C12360" w14:paraId="2E217A78" w14:textId="77777777">
            <w:pPr>
              <w:pStyle w:val="Bodytext2"/>
              <w:rPr>
                <w:lang w:val="en-GB"/>
              </w:rPr>
            </w:pPr>
          </w:p>
          <w:p w:rsidR="002A103C" w:rsidRPr="00D01C1F" w:rsidP="00C12360" w14:paraId="556427CE" w14:textId="67C98CAB">
            <w:pPr>
              <w:pStyle w:val="Bodytext2"/>
              <w:rPr>
                <w:lang w:val="en-GB"/>
              </w:rPr>
            </w:pPr>
            <w:r w:rsidRPr="00D01C1F">
              <w:rPr>
                <w:lang w:val="en-GB"/>
              </w:rPr>
              <w:t>Gain</w:t>
            </w:r>
            <w:r w:rsidRPr="00D01C1F">
              <w:rPr>
                <w:lang w:val="en-GB"/>
              </w:rPr>
              <w:t>s and losses from fair valuation and the disposal and impairments of shares that are attributable to operating activities are included in operating income, while gains and losses from fair valuation and the disposal and impairments of other shares are incl</w:t>
            </w:r>
            <w:r w:rsidRPr="00D01C1F">
              <w:rPr>
                <w:lang w:val="en-GB"/>
              </w:rPr>
              <w:t>uded in financial income and expenses.</w:t>
            </w:r>
          </w:p>
          <w:p w:rsidR="002A103C" w:rsidRPr="00575BD7" w:rsidP="002A103C" w14:paraId="7E57FE59" w14:textId="77777777">
            <w:pPr>
              <w:pStyle w:val="Bodytext2"/>
              <w:rPr>
                <w:color w:val="0F172B"/>
                <w:lang w:val="en-GB"/>
              </w:rPr>
            </w:pPr>
          </w:p>
          <w:p w:rsidR="002A103C" w:rsidRPr="00575BD7" w:rsidP="002A103C" w14:paraId="10C5877C" w14:textId="22FD429F">
            <w:pPr>
              <w:pStyle w:val="Heading13"/>
              <w:rPr>
                <w:lang w:val="en-GB"/>
              </w:rPr>
            </w:pPr>
            <w:r w:rsidRPr="00575BD7">
              <w:rPr>
                <w:lang w:val="en-GB"/>
              </w:rPr>
              <w:t>Financial liabilities</w:t>
            </w:r>
          </w:p>
          <w:p w:rsidR="002A103C" w:rsidRPr="00D01C1F" w:rsidP="00C12360" w14:paraId="04EB49F0" w14:textId="77777777">
            <w:pPr>
              <w:pStyle w:val="Bodytext2"/>
              <w:rPr>
                <w:lang w:val="en-GB"/>
              </w:rPr>
            </w:pPr>
            <w:r w:rsidRPr="00D01C1F">
              <w:rPr>
                <w:lang w:val="en-GB"/>
              </w:rPr>
              <w:t>Financial liabilities recognised at fair value through the statement of income include derivatives that are not eligible for hedge accounting.</w:t>
            </w:r>
          </w:p>
          <w:p w:rsidR="002A103C" w:rsidRPr="00D01C1F" w:rsidP="00C12360" w14:paraId="51801DE8" w14:textId="77777777">
            <w:pPr>
              <w:pStyle w:val="Bodytext2"/>
              <w:rPr>
                <w:lang w:val="en-GB"/>
              </w:rPr>
            </w:pPr>
          </w:p>
          <w:p w:rsidR="002A103C" w:rsidRPr="00D01C1F" w:rsidP="00C12360" w14:paraId="3B081D15" w14:textId="62EA132D">
            <w:pPr>
              <w:pStyle w:val="Bodytext2"/>
              <w:rPr>
                <w:lang w:val="en-GB"/>
              </w:rPr>
            </w:pPr>
            <w:r w:rsidRPr="00D01C1F">
              <w:rPr>
                <w:lang w:val="en-GB"/>
              </w:rPr>
              <w:t>Changes in fair value and gains and losses at derecognition of these financial assets are recognised in the statement of income.</w:t>
            </w:r>
          </w:p>
          <w:p w:rsidR="002A103C" w:rsidRPr="00575BD7" w:rsidP="002A103C" w14:paraId="41507343" w14:textId="77777777">
            <w:pPr>
              <w:pStyle w:val="Bodytext2"/>
              <w:rPr>
                <w:color w:val="0F172B"/>
                <w:lang w:val="en-GB"/>
              </w:rPr>
            </w:pPr>
          </w:p>
          <w:p w:rsidR="002A103C" w:rsidRPr="00575BD7" w:rsidP="002A103C" w14:paraId="4662B9DD" w14:textId="77777777">
            <w:pPr>
              <w:pStyle w:val="Heading13"/>
              <w:rPr>
                <w:lang w:val="en-GB"/>
              </w:rPr>
            </w:pPr>
            <w:r w:rsidRPr="00575BD7">
              <w:rPr>
                <w:lang w:val="en-GB"/>
              </w:rPr>
              <w:t>Financial Instruments at fair value through other comprehensive income</w:t>
            </w:r>
          </w:p>
          <w:p w:rsidR="002A103C" w:rsidRPr="00D01C1F" w:rsidP="00C12360" w14:paraId="54813C09" w14:textId="10C75C1A">
            <w:pPr>
              <w:pStyle w:val="Bodytext2"/>
              <w:rPr>
                <w:lang w:val="en-GB"/>
              </w:rPr>
            </w:pPr>
            <w:r w:rsidRPr="00D01C1F">
              <w:rPr>
                <w:lang w:val="en-GB"/>
              </w:rPr>
              <w:t>Financial assets and liabilities recognised at fair val</w:t>
            </w:r>
            <w:r w:rsidRPr="00D01C1F">
              <w:rPr>
                <w:lang w:val="en-GB"/>
              </w:rPr>
              <w:t>ue through other comprehensive income include the effective portion of derivates eligible for hedge accounting.</w:t>
            </w:r>
          </w:p>
          <w:p w:rsidR="002A103C" w:rsidRPr="00D01C1F" w:rsidP="00C12360" w14:paraId="7CE8FC8F" w14:textId="77777777">
            <w:pPr>
              <w:pStyle w:val="Bodytext2"/>
              <w:rPr>
                <w:lang w:val="en-GB"/>
              </w:rPr>
            </w:pPr>
          </w:p>
          <w:p w:rsidR="002A103C" w:rsidP="00C12360" w14:paraId="112DEB3E" w14:textId="77777777">
            <w:pPr>
              <w:pStyle w:val="Bodytext2"/>
            </w:pPr>
            <w:r w:rsidRPr="00D01C1F">
              <w:rPr>
                <w:lang w:val="en-GB"/>
              </w:rPr>
              <w:t xml:space="preserve">Information on measurement categories of derivatives and financial instruments in hedge accounting are presented in Note 5.7. </w:t>
            </w:r>
            <w:r w:rsidRPr="00C12360">
              <w:t>Derivative financ</w:t>
            </w:r>
            <w:r w:rsidRPr="00C12360">
              <w:t>ial instruments.</w:t>
            </w:r>
          </w:p>
        </w:tc>
      </w:tr>
    </w:tbl>
    <w:p w:rsidR="002A103C" w:rsidP="002A103C" w14:paraId="71F97040" w14:textId="77777777">
      <w:pPr>
        <w:pStyle w:val="Bodytext2"/>
        <w:rPr>
          <w:color w:val="0F172B"/>
        </w:rPr>
      </w:pPr>
    </w:p>
    <w:p w:rsidR="002A103C" w:rsidP="002A103C" w14:paraId="09543E04" w14:textId="5B81394C">
      <w:pPr>
        <w:pStyle w:val="Heading13"/>
      </w:pPr>
      <w:r>
        <w:t>202</w:t>
      </w:r>
      <w:r w:rsidR="00AE0C97">
        <w:t>1</w:t>
      </w:r>
    </w:p>
    <w:p w:rsidR="002A103C" w:rsidP="002A103C" w14:paraId="7FDBCF2E" w14:textId="77777777">
      <w:pPr>
        <w:pStyle w:val="Bodytext2"/>
        <w:rPr>
          <w:color w:val="0F172B"/>
        </w:rPr>
      </w:pPr>
    </w:p>
    <w:tbl>
      <w:tblPr>
        <w:tblStyle w:val="TableNormal"/>
        <w:tblCaption w:val="table_52_measurement_category_cur"/>
        <w:tblW w:w="7290" w:type="dxa"/>
        <w:tblLayout w:type="fixed"/>
        <w:tblLook w:val="0600"/>
      </w:tblPr>
      <w:tblGrid>
        <w:gridCol w:w="2565"/>
        <w:gridCol w:w="945"/>
        <w:gridCol w:w="945"/>
        <w:gridCol w:w="945"/>
        <w:gridCol w:w="945"/>
        <w:gridCol w:w="945"/>
      </w:tblGrid>
      <w:tr>
        <w:tblPrEx>
          <w:tblW w:w="7290" w:type="dxa"/>
          <w:tblLayout w:type="fixed"/>
          <w:tblLook w:val="0600"/>
        </w:tblPrEx>
        <w:trPr>
          <w:trHeight w:val="240"/>
        </w:trPr>
        <w:tc>
          <w:tcPr>
            <w:tcW w:w="256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Measured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amortised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cost</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At fair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value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through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the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statement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of income</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At fair</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value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through</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other</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compre-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hensive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income</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Carrying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amounts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of the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statement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of financial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position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items</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Fair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value</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Non-current financial assets</w:t>
            </w: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investments</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receivables</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investments</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receivables</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 financial assets</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nil"/>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receivables</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869</w:t>
            </w:r>
          </w:p>
        </w:tc>
        <w:tc>
          <w:tcPr>
            <w:tcW w:w="94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869</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869</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receivables for sale</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financial receivables</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8" w:space="0" w:color="0F172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and cash equivalents</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723</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241</w:t>
            </w:r>
          </w:p>
        </w:tc>
        <w:tc>
          <w:tcPr>
            <w:tcW w:w="9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964</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964</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Carrying amount by measurement category</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1,625</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272</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1,906</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1,906</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Non-current financial liabilities</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debt</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851</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855</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 financial liabilities</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debt</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121</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121</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payables</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714</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714</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714</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8" w:space="0" w:color="0F172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financial liabilities</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9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Carrying amount by measurement category</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1,692</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1,714</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1,718</w:t>
            </w:r>
          </w:p>
        </w:tc>
      </w:tr>
    </w:tbl>
    <w:p w:rsidR="002A103C" w:rsidRPr="00B64D44" w:rsidP="00B64D44" w14:paraId="4DFF34B4" w14:textId="38487D69">
      <w:pPr>
        <w:pStyle w:val="Bodytext2"/>
        <w:spacing w:before="0"/>
        <w:rPr>
          <w:sz w:val="2"/>
          <w:szCs w:val="2"/>
        </w:rPr>
      </w:pPr>
      <w:r>
        <w:br w:type="column"/>
      </w:r>
      <w:r w:rsidRPr="00B64D44">
        <w:rPr>
          <w:sz w:val="2"/>
          <w:szCs w:val="2"/>
        </w:rPr>
        <w:t xml:space="preserve">     </w:t>
      </w:r>
    </w:p>
    <w:p w:rsidR="002A103C" w:rsidP="002A103C" w14:paraId="5295B1D6" w14:textId="784339D9">
      <w:pPr>
        <w:pStyle w:val="Heading13"/>
      </w:pPr>
      <w:r>
        <w:t>20</w:t>
      </w:r>
      <w:r w:rsidR="00AE0C97">
        <w:t>20</w:t>
      </w:r>
    </w:p>
    <w:p w:rsidR="002A103C" w:rsidP="002A103C" w14:paraId="53D42D6A" w14:textId="77777777">
      <w:pPr>
        <w:pStyle w:val="Bodytext2"/>
        <w:rPr>
          <w:color w:val="0F172B"/>
        </w:rPr>
      </w:pPr>
    </w:p>
    <w:tbl>
      <w:tblPr>
        <w:tblStyle w:val="TableNormal"/>
        <w:tblCaption w:val="table_52_measurement_category_pre"/>
        <w:tblW w:w="7290" w:type="dxa"/>
        <w:tblLayout w:type="fixed"/>
        <w:tblLook w:val="0600"/>
      </w:tblPr>
      <w:tblGrid>
        <w:gridCol w:w="2565"/>
        <w:gridCol w:w="945"/>
        <w:gridCol w:w="945"/>
        <w:gridCol w:w="945"/>
        <w:gridCol w:w="945"/>
        <w:gridCol w:w="945"/>
      </w:tblGrid>
      <w:tr>
        <w:tblPrEx>
          <w:tblW w:w="7290" w:type="dxa"/>
          <w:tblLayout w:type="fixed"/>
          <w:tblLook w:val="0600"/>
        </w:tblPrEx>
        <w:trPr>
          <w:trHeight w:val="240"/>
        </w:trPr>
        <w:tc>
          <w:tcPr>
            <w:tcW w:w="256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Measured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amortised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cost</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At fair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value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through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the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statement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of income</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At fair</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value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through</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other</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compre-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hensive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income</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Carrying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amounts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of the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statement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of financial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position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items</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Fair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value</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Non-current financial assets</w:t>
            </w: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investments</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receivables</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investments</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receivables</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 financial assets</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nil"/>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receivables</w:t>
            </w:r>
          </w:p>
        </w:tc>
        <w:tc>
          <w:tcPr>
            <w:tcW w:w="9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920</w:t>
            </w:r>
          </w:p>
        </w:tc>
        <w:tc>
          <w:tcPr>
            <w:tcW w:w="945"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920</w:t>
            </w:r>
          </w:p>
        </w:tc>
        <w:tc>
          <w:tcPr>
            <w:tcW w:w="9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920</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receivables for sale</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financial receivables</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8" w:space="0" w:color="0F172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and cash equivalents</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652*</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265</w:t>
            </w:r>
          </w:p>
        </w:tc>
        <w:tc>
          <w:tcPr>
            <w:tcW w:w="9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919</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919</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Carrying amount by measurement category</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1,608</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302</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1,934</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1,934</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Non-current financial liabilities</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debt</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1,129</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1,129</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1,139</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 financial liabilities</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debt</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198</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198</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198</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payables</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411</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411</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411</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8" w:space="0" w:color="0F172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financial liabilities</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9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Carrying amount by measurement category</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1,743</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1,770</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1,780</w:t>
            </w:r>
          </w:p>
        </w:tc>
      </w:tr>
    </w:tbl>
    <w:p w:rsidR="002A103C" w:rsidP="002A103C" w14:paraId="466A5927" w14:textId="1073D8C1">
      <w:pPr>
        <w:pStyle w:val="Bodytext2"/>
        <w:rPr>
          <w:color w:val="0F172B"/>
        </w:rPr>
      </w:pPr>
    </w:p>
    <w:p w:rsidR="00344D28" w:rsidP="00344D28" w14:paraId="3EC1DF1E" w14:textId="5026E91E">
      <w:pPr>
        <w:pStyle w:val="Bodytext2"/>
        <w:rPr>
          <w:color w:val="0F172B"/>
        </w:rPr>
      </w:pPr>
      <w:r>
        <w:rPr>
          <w:color w:val="0F172B"/>
        </w:rPr>
        <w:t>* In addition, the Group has cash and cash equivalents measured at amortised cost of EUR 1</w:t>
      </w:r>
      <w:r w:rsidR="00AE0C97">
        <w:rPr>
          <w:color w:val="0F172B"/>
        </w:rPr>
        <w:t>4</w:t>
      </w:r>
      <w:r>
        <w:rPr>
          <w:color w:val="0F172B"/>
        </w:rPr>
        <w:t xml:space="preserve"> million related to assets held for sale.</w:t>
      </w:r>
    </w:p>
    <w:p w:rsidR="00344D28" w:rsidRPr="002E0801" w:rsidP="002E0801" w14:paraId="474F0D66" w14:textId="4EDE3B78">
      <w:pPr>
        <w:pStyle w:val="Bodytext2"/>
        <w:spacing w:before="0"/>
        <w:rPr>
          <w:sz w:val="2"/>
          <w:szCs w:val="2"/>
        </w:rPr>
      </w:pPr>
      <w:r>
        <w:br w:type="column"/>
      </w:r>
      <w:r w:rsidRPr="002E0801">
        <w:rPr>
          <w:sz w:val="2"/>
          <w:szCs w:val="2"/>
        </w:rPr>
        <w:t xml:space="preserve">     </w:t>
      </w:r>
    </w:p>
    <w:p w:rsidR="002A103C" w:rsidP="002A103C" w14:paraId="78EB104C" w14:textId="77777777">
      <w:pPr>
        <w:pStyle w:val="Heading13"/>
      </w:pPr>
      <w:r>
        <w:t>Fair value hierarchy</w:t>
      </w:r>
    </w:p>
    <w:tbl>
      <w:tblPr>
        <w:tblStyle w:val="TableGrid0"/>
        <w:tblW w:w="7371" w:type="dxa"/>
        <w:tblInd w:w="5" w:type="dxa"/>
        <w:tblLook w:val="04A0"/>
      </w:tblPr>
      <w:tblGrid>
        <w:gridCol w:w="7371"/>
      </w:tblGrid>
      <w:tr w14:paraId="07A5C633" w14:textId="77777777" w:rsidTr="002A103C">
        <w:tblPrEx>
          <w:tblW w:w="7371" w:type="dxa"/>
          <w:tblInd w:w="5" w:type="dxa"/>
          <w:tblLook w:val="04A0"/>
        </w:tblPrEx>
        <w:tc>
          <w:tcPr>
            <w:tcW w:w="7371" w:type="dxa"/>
            <w:shd w:val="clear" w:color="auto" w:fill="B6C8D1"/>
          </w:tcPr>
          <w:p w:rsidR="00B1190B" w:rsidRPr="0066431F" w:rsidP="00B1190B" w14:paraId="286E3800" w14:textId="77777777">
            <w:pPr>
              <w:pStyle w:val="Heading13"/>
              <w:rPr>
                <w:lang w:val="en-GB"/>
              </w:rPr>
            </w:pPr>
            <w:r w:rsidRPr="0066431F">
              <w:rPr>
                <w:lang w:val="en-GB"/>
              </w:rPr>
              <w:t>Accounting principles</w:t>
            </w:r>
          </w:p>
          <w:p w:rsidR="002A103C" w:rsidRPr="00575BD7" w:rsidP="002A103C" w14:paraId="6CDD195C" w14:textId="33002A94">
            <w:pPr>
              <w:pStyle w:val="Bodytext2"/>
              <w:rPr>
                <w:color w:val="0F172B"/>
                <w:lang w:val="en-GB"/>
              </w:rPr>
            </w:pPr>
            <w:r w:rsidRPr="00575BD7">
              <w:rPr>
                <w:color w:val="0F172B"/>
                <w:lang w:val="en-GB"/>
              </w:rPr>
              <w:t>Wärtsilä uses the following categorisation for determining and disclosing the fair value of financial instruments by valuation technique:</w:t>
            </w:r>
          </w:p>
          <w:p w:rsidR="002A103C" w:rsidRPr="00575BD7" w:rsidP="002A103C" w14:paraId="7922D208" w14:textId="77777777">
            <w:pPr>
              <w:pStyle w:val="Bodytext2"/>
              <w:rPr>
                <w:color w:val="0F172B"/>
                <w:lang w:val="en-GB"/>
              </w:rPr>
            </w:pPr>
          </w:p>
          <w:p w:rsidR="002A103C" w:rsidRPr="00E72091" w:rsidP="002A103C" w14:paraId="47E08799" w14:textId="1BA1E12C">
            <w:pPr>
              <w:pStyle w:val="Bodytext2"/>
              <w:rPr>
                <w:color w:val="0F172B"/>
                <w:lang w:val="en-GB"/>
              </w:rPr>
            </w:pPr>
            <w:r w:rsidRPr="00E72091">
              <w:rPr>
                <w:color w:val="0F172B"/>
                <w:lang w:val="en-GB"/>
              </w:rPr>
              <w:t>Level 1: The quoted price</w:t>
            </w:r>
            <w:r w:rsidRPr="00E72091">
              <w:rPr>
                <w:color w:val="0F172B"/>
                <w:lang w:val="en-GB"/>
              </w:rPr>
              <w:t>s for the financial instruments are directly and regularly available on active publicly traded markets or other publicly available sources.</w:t>
            </w:r>
          </w:p>
          <w:p w:rsidR="002A103C" w:rsidRPr="00E72091" w:rsidP="002A103C" w14:paraId="0BBEDAD1" w14:textId="77777777">
            <w:pPr>
              <w:pStyle w:val="Bodytext2"/>
              <w:rPr>
                <w:color w:val="0F172B"/>
                <w:lang w:val="en-GB"/>
              </w:rPr>
            </w:pPr>
          </w:p>
          <w:p w:rsidR="002A103C" w:rsidRPr="00575BD7" w:rsidP="002A103C" w14:paraId="33DD3C6C" w14:textId="2C480C82">
            <w:pPr>
              <w:pStyle w:val="Bodytext2"/>
              <w:rPr>
                <w:color w:val="0F172B"/>
                <w:lang w:val="en-GB"/>
              </w:rPr>
            </w:pPr>
            <w:r w:rsidRPr="00E72091">
              <w:rPr>
                <w:color w:val="0F172B"/>
                <w:lang w:val="en-GB"/>
              </w:rPr>
              <w:t>Level 2: The prices for the financial instruments are determined by using a valuation method for which the input da</w:t>
            </w:r>
            <w:r w:rsidRPr="00E72091">
              <w:rPr>
                <w:color w:val="0F172B"/>
                <w:lang w:val="en-GB"/>
              </w:rPr>
              <w:t>ta is directly or indirectly available on a publicly traded markets or other publicly available sources.</w:t>
            </w:r>
          </w:p>
          <w:p w:rsidR="002A103C" w:rsidRPr="00575BD7" w:rsidP="002A103C" w14:paraId="4963D36D" w14:textId="77777777">
            <w:pPr>
              <w:pStyle w:val="Bodytext2"/>
              <w:rPr>
                <w:color w:val="0F172B"/>
                <w:lang w:val="en-GB"/>
              </w:rPr>
            </w:pPr>
          </w:p>
          <w:p w:rsidR="002A103C" w:rsidRPr="00575BD7" w:rsidP="002A103C" w14:paraId="15B2CE6C" w14:textId="6314A18E">
            <w:pPr>
              <w:pStyle w:val="Bodytext2"/>
              <w:rPr>
                <w:color w:val="0F172B"/>
                <w:lang w:val="en-GB"/>
              </w:rPr>
            </w:pPr>
            <w:r w:rsidRPr="00575BD7">
              <w:rPr>
                <w:color w:val="0F172B"/>
                <w:lang w:val="en-GB"/>
              </w:rPr>
              <w:t>Level 3: The financial instruments are categorised into level 3 fair value if the prices for the inputs of the valuation method are not publicly avail</w:t>
            </w:r>
            <w:r w:rsidRPr="00575BD7">
              <w:rPr>
                <w:color w:val="0F172B"/>
                <w:lang w:val="en-GB"/>
              </w:rPr>
              <w:t>able</w:t>
            </w:r>
            <w:r>
              <w:rPr>
                <w:color w:val="0F172B"/>
                <w:lang w:val="en-GB"/>
              </w:rPr>
              <w:t>,</w:t>
            </w:r>
            <w:r w:rsidRPr="00575BD7">
              <w:rPr>
                <w:color w:val="0F172B"/>
                <w:lang w:val="en-GB"/>
              </w:rPr>
              <w:t xml:space="preserve"> and when the financial instruments are measured using an independent valuation method. </w:t>
            </w:r>
          </w:p>
        </w:tc>
      </w:tr>
    </w:tbl>
    <w:p w:rsidR="00A87A43" w:rsidP="005E7F25" w14:paraId="054AA1EA" w14:textId="77777777">
      <w:pPr>
        <w:pStyle w:val="Bodytext2"/>
      </w:pPr>
    </w:p>
    <w:p w:rsidR="002A103C" w:rsidRPr="005E7F25" w:rsidP="005E7F25" w14:paraId="179D6618" w14:textId="252E8901">
      <w:pPr>
        <w:pStyle w:val="Bodytext2"/>
      </w:pPr>
      <w:r w:rsidRPr="005E7F25">
        <w:t>Specific valuation techniques used to value financial instruments include:</w:t>
      </w:r>
    </w:p>
    <w:p w:rsidR="002A103C" w:rsidRPr="005E7F25" w:rsidP="005E7F25" w14:paraId="0C626BBB" w14:textId="77777777">
      <w:pPr>
        <w:pStyle w:val="Bodytext2"/>
      </w:pPr>
      <w:r w:rsidRPr="005E7F25">
        <w:t xml:space="preserve">• the fair value of forward foreign exchange contracts is determined by using </w:t>
      </w:r>
      <w:r w:rsidRPr="005E7F25">
        <w:t>forward rates at the closing date</w:t>
      </w:r>
    </w:p>
    <w:p w:rsidR="002A103C" w:rsidRPr="005E7F25" w:rsidP="005E7F25" w14:paraId="36CBA393" w14:textId="2CC3D9F0">
      <w:pPr>
        <w:pStyle w:val="Bodytext2"/>
      </w:pPr>
      <w:r w:rsidRPr="005E7F25">
        <w:t>• the fair value of interest rate swaps is calculated as being the present value of the estimated future cash flows based on observable yield curves</w:t>
      </w:r>
    </w:p>
    <w:p w:rsidR="002A103C" w:rsidRPr="005E7F25" w:rsidP="005E7F25" w14:paraId="3D4F128C" w14:textId="77777777">
      <w:pPr>
        <w:pStyle w:val="Bodytext2"/>
      </w:pPr>
      <w:r w:rsidRPr="005E7F25">
        <w:t xml:space="preserve">• the use of quoted market prices or dealer quotes for similar </w:t>
      </w:r>
      <w:r w:rsidRPr="005E7F25">
        <w:t>instruments</w:t>
      </w:r>
    </w:p>
    <w:p w:rsidR="002A103C" w:rsidRPr="005E7F25" w:rsidP="005E7F25" w14:paraId="1D875E07" w14:textId="77777777">
      <w:pPr>
        <w:pStyle w:val="Bodytext2"/>
      </w:pPr>
    </w:p>
    <w:tbl>
      <w:tblPr>
        <w:tblStyle w:val="TableNormal"/>
        <w:tblCaption w:val="table_52_fair_value_hierarchy"/>
        <w:tblW w:w="7290" w:type="dxa"/>
        <w:tblLayout w:type="fixed"/>
        <w:tblLook w:val="0600"/>
      </w:tblPr>
      <w:tblGrid>
        <w:gridCol w:w="2565"/>
        <w:gridCol w:w="945"/>
        <w:gridCol w:w="945"/>
        <w:gridCol w:w="945"/>
        <w:gridCol w:w="945"/>
        <w:gridCol w:w="945"/>
      </w:tblGrid>
      <w:tr>
        <w:tblPrEx>
          <w:tblW w:w="7290" w:type="dxa"/>
          <w:tblLayout w:type="fixed"/>
          <w:tblLook w:val="0600"/>
        </w:tblPrEx>
        <w:trPr>
          <w:trHeight w:hRule="exact" w:val="240"/>
        </w:trPr>
        <w:tc>
          <w:tcPr>
            <w:tcW w:w="256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4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94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945"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Level 2</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Level 3</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Level 2</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Level 3</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10" w:type="dxa"/>
            <w:gridSpan w:val="2"/>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Financial assets</w:t>
            </w: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10" w:type="dxa"/>
            <w:gridSpan w:val="2"/>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investments</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510" w:type="dxa"/>
            <w:gridSpan w:val="2"/>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investments, non-current</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10" w:type="dxa"/>
            <w:gridSpan w:val="2"/>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receivables, non-current</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10" w:type="dxa"/>
            <w:gridSpan w:val="2"/>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10" w:type="dxa"/>
            <w:gridSpan w:val="2"/>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Financial liabilities</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10" w:type="dxa"/>
            <w:gridSpan w:val="2"/>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debt, non-current*</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855</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1,139</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10" w:type="dxa"/>
            <w:gridSpan w:val="2"/>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bl>
    <w:p w:rsidR="002A103C" w:rsidP="002A103C" w14:paraId="3C1B5567" w14:textId="77777777">
      <w:pPr>
        <w:pStyle w:val="Bodytext2"/>
        <w:rPr>
          <w:color w:val="0F172B"/>
        </w:rPr>
      </w:pPr>
    </w:p>
    <w:p w:rsidR="002A103C" w:rsidRPr="005E7F25" w:rsidP="005E7F25" w14:paraId="7FA81B45" w14:textId="201C0457">
      <w:pPr>
        <w:pStyle w:val="Bodytext2"/>
      </w:pPr>
      <w:r w:rsidRPr="005E7F25">
        <w:t>* Measured at amortised cost in the statement of financial position.</w:t>
      </w:r>
    </w:p>
    <w:p w:rsidR="002A103C" w:rsidRPr="005E7F25" w:rsidP="005E7F25" w14:paraId="6F2B1183" w14:textId="77777777">
      <w:pPr>
        <w:pStyle w:val="Bodytext2"/>
      </w:pPr>
    </w:p>
    <w:p w:rsidR="002A103C" w:rsidRPr="005E7F25" w:rsidP="005E7F25" w14:paraId="624BBAB6" w14:textId="191EEBDB">
      <w:pPr>
        <w:pStyle w:val="Bodytext2"/>
      </w:pPr>
      <w:r w:rsidRPr="005E7F25">
        <w:t>Additional information on financial liabilities is presented in Note 5.6. Maturity analysis of financial liabilities.</w:t>
      </w:r>
    </w:p>
    <w:p w:rsidR="002A103C" w:rsidRPr="00DF3667" w:rsidP="00DF3667" w14:paraId="0E46B628" w14:textId="58B3787F">
      <w:pPr>
        <w:pStyle w:val="Bodytext2"/>
        <w:spacing w:before="0"/>
        <w:rPr>
          <w:color w:val="0F172B"/>
          <w:sz w:val="2"/>
          <w:szCs w:val="2"/>
        </w:rPr>
      </w:pPr>
      <w:r>
        <w:rPr>
          <w:color w:val="0F172B"/>
        </w:rPr>
        <w:br w:type="column"/>
      </w:r>
      <w:r w:rsidRPr="00DF3667">
        <w:rPr>
          <w:color w:val="0F172B"/>
          <w:sz w:val="2"/>
          <w:szCs w:val="2"/>
        </w:rPr>
        <w:t xml:space="preserve">     </w:t>
      </w:r>
    </w:p>
    <w:p w:rsidR="002A103C" w:rsidP="002A103C" w14:paraId="49C6CE6F" w14:textId="77777777">
      <w:pPr>
        <w:pStyle w:val="Heading13"/>
      </w:pPr>
      <w:r>
        <w:t>Other investments</w:t>
      </w:r>
    </w:p>
    <w:p w:rsidR="002A103C" w:rsidRPr="005E7F25" w:rsidP="005E7F25" w14:paraId="6AEA511D" w14:textId="118578F1">
      <w:pPr>
        <w:pStyle w:val="Bodytext2"/>
      </w:pPr>
      <w:r w:rsidRPr="005E7F25">
        <w:t>Other investments include unlisted shares carried at fair value. These investments are valued using certain DCF models where critical assumptions relate to WACC level and expected cash flows from future dividends. However, the results from different scenar</w:t>
      </w:r>
      <w:r w:rsidRPr="005E7F25">
        <w:t>ios vary a lot. The management therefore considers that the valuation at amortised cost is the best estimate of fair value.</w:t>
      </w:r>
    </w:p>
    <w:p w:rsidR="002A103C" w:rsidRPr="005E7F25" w:rsidP="005E7F25" w14:paraId="3A36A8BE" w14:textId="77777777">
      <w:pPr>
        <w:pStyle w:val="Bodytext2"/>
      </w:pPr>
    </w:p>
    <w:tbl>
      <w:tblPr>
        <w:tblStyle w:val="TableNormal"/>
        <w:tblCaption w:val="table_52_other_investments"/>
        <w:tblW w:w="7290" w:type="dxa"/>
        <w:tblLayout w:type="fixed"/>
        <w:tblLook w:val="0600"/>
      </w:tblPr>
      <w:tblGrid>
        <w:gridCol w:w="2565"/>
        <w:gridCol w:w="945"/>
        <w:gridCol w:w="945"/>
        <w:gridCol w:w="945"/>
        <w:gridCol w:w="945"/>
        <w:gridCol w:w="945"/>
      </w:tblGrid>
      <w:tr>
        <w:tblPrEx>
          <w:tblW w:w="7290" w:type="dxa"/>
          <w:tblLayout w:type="fixed"/>
          <w:tblLook w:val="0600"/>
        </w:tblPrEx>
        <w:trPr>
          <w:trHeight w:hRule="exact" w:val="240"/>
        </w:trPr>
        <w:tc>
          <w:tcPr>
            <w:tcW w:w="256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945"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400" w:type="dxa"/>
            <w:gridSpan w:val="4"/>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Carrying amount on 1 January</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400" w:type="dxa"/>
            <w:gridSpan w:val="4"/>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Acquired shares</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400" w:type="dxa"/>
            <w:gridSpan w:val="4"/>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Impairment</w:t>
            </w:r>
          </w:p>
        </w:tc>
        <w:tc>
          <w:tcPr>
            <w:tcW w:w="945"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945"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400" w:type="dxa"/>
            <w:gridSpan w:val="4"/>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Carrying amount on 31 December</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w:t>
            </w:r>
          </w:p>
        </w:tc>
      </w:tr>
    </w:tbl>
    <w:p w:rsidR="002A103C" w:rsidRPr="005E7F25" w:rsidP="005E7F25" w14:paraId="7F634394" w14:textId="77777777">
      <w:pPr>
        <w:pStyle w:val="Bodytext2"/>
      </w:pPr>
    </w:p>
    <w:p w:rsidR="002A103C" w:rsidRPr="00AD55D7" w:rsidP="00361E60" w14:paraId="050A34B3" w14:textId="3B62BEDA">
      <w:pPr>
        <w:pStyle w:val="Bodytext2"/>
        <w:spacing w:before="0"/>
        <w:rPr>
          <w:sz w:val="2"/>
          <w:szCs w:val="2"/>
        </w:rPr>
      </w:pPr>
      <w:r w:rsidRPr="005E7F25">
        <w:t>In 202</w:t>
      </w:r>
      <w:r>
        <w:t>1</w:t>
      </w:r>
      <w:r w:rsidRPr="005E7F25">
        <w:t>, the cost for other unlisted shares (level 3) was EUR 1</w:t>
      </w:r>
      <w:r>
        <w:t>8</w:t>
      </w:r>
      <w:r w:rsidRPr="005E7F25">
        <w:t xml:space="preserve"> million (1</w:t>
      </w:r>
      <w:r>
        <w:t>9</w:t>
      </w:r>
      <w:r w:rsidRPr="005E7F25">
        <w:t>), and the market valu</w:t>
      </w:r>
      <w:r w:rsidRPr="005E7F25">
        <w:t>e of them was EUR 1</w:t>
      </w:r>
      <w:r>
        <w:t>8</w:t>
      </w:r>
      <w:r w:rsidRPr="005E7F25">
        <w:t xml:space="preserve"> million (1</w:t>
      </w:r>
      <w:r>
        <w:t>9).</w:t>
      </w:r>
    </w:p>
    <w:p/>
    <w:p w:rsidR="00AA61FB" w:rsidRPr="00AA61FB" w:rsidP="00AA61FB" w14:paraId="410E9B53" w14:textId="77777777">
      <w:pPr>
        <w:pStyle w:val="Heading12"/>
      </w:pPr>
      <w:bookmarkStart w:id="1484" w:name="RG_MARKER_7322"/>
      <w:r w:rsidRPr="00AA61FB">
        <w:t>5.3. CASH AND CASH EQUIVALENTS</w:t>
      </w:r>
      <w:bookmarkEnd w:id="1484"/>
    </w:p>
    <w:tbl>
      <w:tblPr>
        <w:tblStyle w:val="TableGrid"/>
        <w:tblW w:w="7371" w:type="dxa"/>
        <w:tblLook w:val="04A0"/>
      </w:tblPr>
      <w:tblGrid>
        <w:gridCol w:w="7371"/>
      </w:tblGrid>
      <w:tr w14:paraId="03642AA2" w14:textId="77777777" w:rsidTr="00AA61FB">
        <w:tblPrEx>
          <w:tblW w:w="7371" w:type="dxa"/>
          <w:tblLook w:val="04A0"/>
        </w:tblPrEx>
        <w:tc>
          <w:tcPr>
            <w:tcW w:w="7371" w:type="dxa"/>
            <w:tcBorders>
              <w:top w:val="nil"/>
              <w:left w:val="nil"/>
              <w:bottom w:val="nil"/>
              <w:right w:val="nil"/>
            </w:tcBorders>
            <w:shd w:val="clear" w:color="auto" w:fill="B6C8D1"/>
            <w:hideMark/>
          </w:tcPr>
          <w:p w:rsidR="00AA61FB" w:rsidRPr="0047121E" w:rsidP="00AA61FB" w14:paraId="686990C0" w14:textId="77777777">
            <w:pPr>
              <w:pStyle w:val="Heading13"/>
              <w:rPr>
                <w:lang w:val="en-GB"/>
              </w:rPr>
            </w:pPr>
            <w:r w:rsidRPr="00EB6285">
              <w:rPr>
                <w:lang w:val="en-GB"/>
              </w:rPr>
              <w:t>Accounting principles</w:t>
            </w:r>
          </w:p>
          <w:p w:rsidR="00AA61FB" w:rsidRPr="0047121E" w:rsidP="00AA61FB" w14:paraId="34E2FF2D" w14:textId="3A0F742A">
            <w:pPr>
              <w:pStyle w:val="Bodytext2"/>
              <w:rPr>
                <w:lang w:val="en-GB"/>
              </w:rPr>
            </w:pPr>
            <w:r w:rsidRPr="0047121E">
              <w:rPr>
                <w:lang w:val="en-GB"/>
              </w:rPr>
              <w:t>Cash and cash equivalents comprise cash in hand, deposits held at call with banks, and other short-term cash investments. Other short-term cash investments are highly liquid investments that are subject to only minor fluctuations in value</w:t>
            </w:r>
            <w:r>
              <w:rPr>
                <w:lang w:val="en-GB"/>
              </w:rPr>
              <w:t>,</w:t>
            </w:r>
            <w:r w:rsidRPr="0047121E">
              <w:rPr>
                <w:lang w:val="en-GB"/>
              </w:rPr>
              <w:t xml:space="preserve"> and</w:t>
            </w:r>
            <w:r>
              <w:rPr>
                <w:lang w:val="en-GB"/>
              </w:rPr>
              <w:t xml:space="preserve"> which</w:t>
            </w:r>
            <w:r w:rsidRPr="0047121E">
              <w:rPr>
                <w:lang w:val="en-GB"/>
              </w:rPr>
              <w:t xml:space="preserve"> have a</w:t>
            </w:r>
            <w:r w:rsidRPr="0047121E">
              <w:rPr>
                <w:lang w:val="en-GB"/>
              </w:rPr>
              <w:t xml:space="preserve"> maturity of up to three months on the date of acquisition. Cash in hand and deposits held at call are presented at amortised cost. Other cash investments are mainly measured at fair value, except for commercial paper investments that are presented at amor</w:t>
            </w:r>
            <w:r w:rsidRPr="0047121E">
              <w:rPr>
                <w:lang w:val="en-GB"/>
              </w:rPr>
              <w:t>tised cost. Credit accounts related to Group cash pool accounts are included in current financial liabilities.</w:t>
            </w:r>
          </w:p>
        </w:tc>
      </w:tr>
    </w:tbl>
    <w:p w:rsidR="00AA61FB" w:rsidRPr="00AA61FB" w:rsidP="00AA61FB" w14:paraId="34C42EB1" w14:textId="77777777">
      <w:pPr>
        <w:pStyle w:val="Bodytext2"/>
      </w:pPr>
    </w:p>
    <w:tbl>
      <w:tblPr>
        <w:tblStyle w:val="TableNormal"/>
        <w:tblCaption w:val="table_53"/>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and bank balances*</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708</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628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equivalents</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256</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964</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919</w:t>
            </w:r>
          </w:p>
        </w:tc>
      </w:tr>
    </w:tbl>
    <w:p w:rsidR="00AA61FB" w:rsidRPr="00AA61FB" w:rsidP="00AA61FB" w14:paraId="650EA6B9" w14:textId="77777777">
      <w:pPr>
        <w:pStyle w:val="Bodytext2"/>
      </w:pPr>
    </w:p>
    <w:p w:rsidR="00AA61FB" w:rsidRPr="00AA61FB" w:rsidP="00AA61FB" w14:paraId="7E1F0455" w14:textId="1DD2505E">
      <w:pPr>
        <w:pStyle w:val="Bodytext2"/>
      </w:pPr>
      <w:r w:rsidRPr="00AA61FB">
        <w:t xml:space="preserve">* EUR </w:t>
      </w:r>
      <w:r>
        <w:t>178</w:t>
      </w:r>
      <w:r w:rsidRPr="00AA61FB">
        <w:t xml:space="preserve"> million (17</w:t>
      </w:r>
      <w:r>
        <w:t>5</w:t>
      </w:r>
      <w:r w:rsidRPr="00AA61FB">
        <w:t>) of cash and bank balances relate to cash in countries where repatriation is limited due to local regulat</w:t>
      </w:r>
      <w:r w:rsidRPr="00AA61FB">
        <w:t>ion and</w:t>
      </w:r>
      <w:r>
        <w:t>,</w:t>
      </w:r>
      <w:r w:rsidRPr="00AA61FB">
        <w:t xml:space="preserve"> consequently</w:t>
      </w:r>
      <w:r>
        <w:t>,</w:t>
      </w:r>
      <w:r w:rsidRPr="00AA61FB">
        <w:t xml:space="preserve"> the cash is not immediately available to the parent company.</w:t>
      </w:r>
    </w:p>
    <w:p w:rsidR="00AA61FB" w:rsidRPr="00AA61FB" w:rsidP="00AA61FB" w14:paraId="06F63E1F" w14:textId="77777777">
      <w:pPr>
        <w:pStyle w:val="Bodytext2"/>
      </w:pPr>
    </w:p>
    <w:p w:rsidR="00AA61FB" w:rsidRPr="00FD73D3" w:rsidP="0005728C" w14:paraId="4902EA1D" w14:textId="2F32A9EC">
      <w:pPr>
        <w:pStyle w:val="Bodytext2"/>
        <w:spacing w:before="0"/>
        <w:rPr>
          <w:sz w:val="2"/>
          <w:szCs w:val="2"/>
        </w:rPr>
      </w:pPr>
      <w:r>
        <w:t>In 2020,</w:t>
      </w:r>
      <w:r w:rsidRPr="00AA61FB">
        <w:t xml:space="preserve"> </w:t>
      </w:r>
      <w:r>
        <w:t xml:space="preserve">the </w:t>
      </w:r>
      <w:r w:rsidRPr="00AA61FB">
        <w:t xml:space="preserve">Group </w:t>
      </w:r>
      <w:r>
        <w:t xml:space="preserve">also </w:t>
      </w:r>
      <w:r w:rsidRPr="00AA61FB">
        <w:t>ha</w:t>
      </w:r>
      <w:r>
        <w:t>d</w:t>
      </w:r>
      <w:r w:rsidRPr="00AA61FB">
        <w:t xml:space="preserve"> cash and cash equivalents of EUR </w:t>
      </w:r>
      <w:r>
        <w:t>14</w:t>
      </w:r>
      <w:r w:rsidRPr="00AA61FB">
        <w:t xml:space="preserve"> million </w:t>
      </w:r>
      <w:r>
        <w:t>related</w:t>
      </w:r>
      <w:r w:rsidRPr="00AA61FB">
        <w:t xml:space="preserve"> to assets held for sale.</w:t>
      </w:r>
      <w:r>
        <w:br w:type="column"/>
      </w:r>
      <w:r w:rsidRPr="0005728C">
        <w:rPr>
          <w:sz w:val="2"/>
          <w:szCs w:val="2"/>
        </w:rPr>
        <w:t xml:space="preserve">     </w:t>
      </w:r>
    </w:p>
    <w:p w:rsidR="00785A4E" w:rsidRPr="00785A4E" w:rsidP="00785A4E" w14:paraId="4E4C3942" w14:textId="77777777">
      <w:pPr>
        <w:pStyle w:val="Heading12"/>
      </w:pPr>
      <w:bookmarkStart w:id="1485" w:name="RG_MARKER_7323"/>
      <w:r w:rsidRPr="00785A4E">
        <w:t>5.4. NET DEBT RECONCILIATION</w:t>
      </w:r>
      <w:bookmarkEnd w:id="1485"/>
    </w:p>
    <w:p w:rsidR="00785A4E" w:rsidRPr="00785A4E" w:rsidP="00785A4E" w14:paraId="18A71665" w14:textId="77777777">
      <w:pPr>
        <w:pStyle w:val="Heading13"/>
      </w:pPr>
      <w:r w:rsidRPr="00785A4E">
        <w:t>Net interest-bearing debt</w:t>
      </w:r>
    </w:p>
    <w:p w:rsidR="00785A4E" w:rsidRPr="00785A4E" w:rsidP="00785A4E" w14:paraId="5D12DF68" w14:textId="77777777">
      <w:pPr>
        <w:pStyle w:val="Bodytext2"/>
      </w:pPr>
    </w:p>
    <w:tbl>
      <w:tblPr>
        <w:tblStyle w:val="TableNormal"/>
        <w:tblCaption w:val="table_54_net_ib_debt"/>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hRule="exac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87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610" w:type="dxa"/>
            <w:gridSpan w:val="5"/>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Lease liabilities, non-current</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157</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610" w:type="dxa"/>
            <w:gridSpan w:val="5"/>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interest-bearing debt, non-current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694</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610" w:type="dxa"/>
            <w:gridSpan w:val="5"/>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Lease liabilities, current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610" w:type="dxa"/>
            <w:gridSpan w:val="5"/>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interest-bearing debt, current</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82</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610" w:type="dxa"/>
            <w:gridSpan w:val="5"/>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interest-bearing liabilities</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973</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1,327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610" w:type="dxa"/>
            <w:gridSpan w:val="5"/>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receivables</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610" w:type="dxa"/>
            <w:gridSpan w:val="5"/>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and cash equivalents</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-964</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-919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610" w:type="dxa"/>
            <w:gridSpan w:val="5"/>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and cash equivalents pertaining to assets held for sale</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610" w:type="dxa"/>
            <w:gridSpan w:val="5"/>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interest-bearing assets</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-969</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-933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610" w:type="dxa"/>
            <w:gridSpan w:val="5"/>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net interest-bearing debt</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394</w:t>
            </w:r>
          </w:p>
        </w:tc>
      </w:tr>
    </w:tbl>
    <w:p w:rsidR="00785A4E" w:rsidRPr="00785A4E" w:rsidP="00785A4E" w14:paraId="1097ED3D" w14:textId="77777777">
      <w:pPr>
        <w:pStyle w:val="Bodytext2"/>
      </w:pPr>
    </w:p>
    <w:p w:rsidR="00785A4E" w:rsidRPr="00785A4E" w:rsidP="00785A4E" w14:paraId="2F74F6DB" w14:textId="77777777">
      <w:pPr>
        <w:pStyle w:val="Heading13"/>
      </w:pPr>
      <w:r w:rsidRPr="00785A4E">
        <w:t>Net debt reconciliation</w:t>
      </w:r>
    </w:p>
    <w:p w:rsidR="00785A4E" w:rsidRPr="00785A4E" w:rsidP="00785A4E" w14:paraId="352F0427" w14:textId="77777777">
      <w:pPr>
        <w:pStyle w:val="Bodytext2"/>
      </w:pPr>
    </w:p>
    <w:p w:rsidR="00785A4E" w:rsidP="00785A4E" w14:paraId="67BF28C7" w14:textId="7C6A9B74">
      <w:pPr>
        <w:pStyle w:val="Heading13"/>
      </w:pPr>
      <w:r w:rsidRPr="00785A4E">
        <w:t>202</w:t>
      </w:r>
      <w:r>
        <w:t>1</w:t>
      </w:r>
    </w:p>
    <w:p w:rsidR="0071287F" w:rsidRPr="0071287F" w:rsidP="002119C9" w14:paraId="20DA9A1E" w14:textId="77777777">
      <w:pPr>
        <w:pStyle w:val="Bodytext2"/>
      </w:pPr>
    </w:p>
    <w:tbl>
      <w:tblPr>
        <w:tblStyle w:val="TableNormal"/>
        <w:tblCaption w:val="table_54_net_debt_recon_cur"/>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Carrying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amount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January</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Cash</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flows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Changes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exchange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rates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Other</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non-cash</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move-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ments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Acquisi-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tions and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disposals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Carrying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amount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on 31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December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Lease liabilities</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166</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-51</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78</w:t>
            </w: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interest-bearing debt, non-current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1,005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-303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interest-bearing debt, current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receivables</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and cash equivalents*</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-932</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-30</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-964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 debt</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394</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-457</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78</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r>
    </w:tbl>
    <w:p w:rsidR="00CE2D91" w:rsidP="002119C9" w14:paraId="2048C60C" w14:textId="22E2842A">
      <w:pPr>
        <w:pStyle w:val="Bodytext2"/>
      </w:pPr>
    </w:p>
    <w:p w:rsidR="00CE2D91" w:rsidRPr="00785A4E" w:rsidP="002119C9" w14:paraId="66F515DF" w14:textId="509FED34">
      <w:pPr>
        <w:pStyle w:val="Bodytext2"/>
      </w:pPr>
      <w:r w:rsidRPr="00785A4E">
        <w:t>* Includes cash and cash equivalents pertaining to assets held for sale</w:t>
      </w:r>
      <w:r>
        <w:t>.</w:t>
      </w:r>
    </w:p>
    <w:p w:rsidR="00785A4E" w:rsidRPr="002119C9" w:rsidP="002119C9" w14:paraId="059CE7BB" w14:textId="43875339">
      <w:pPr>
        <w:pStyle w:val="Bodytext2"/>
        <w:spacing w:before="0"/>
        <w:rPr>
          <w:sz w:val="2"/>
          <w:szCs w:val="2"/>
        </w:rPr>
      </w:pPr>
      <w:r>
        <w:br w:type="column"/>
      </w:r>
      <w:r w:rsidRPr="002119C9">
        <w:rPr>
          <w:sz w:val="2"/>
          <w:szCs w:val="2"/>
        </w:rPr>
        <w:t xml:space="preserve">     </w:t>
      </w:r>
    </w:p>
    <w:p w:rsidR="00785A4E" w:rsidP="00785A4E" w14:paraId="6F729233" w14:textId="7D5736CE">
      <w:pPr>
        <w:pStyle w:val="Heading13"/>
      </w:pPr>
      <w:r w:rsidRPr="00785A4E">
        <w:t>20</w:t>
      </w:r>
      <w:r>
        <w:t>20</w:t>
      </w:r>
    </w:p>
    <w:p w:rsidR="0071287F" w:rsidRPr="0071287F" w:rsidP="002119C9" w14:paraId="15DE68BC" w14:textId="77777777">
      <w:pPr>
        <w:pStyle w:val="Bodytext2"/>
      </w:pPr>
    </w:p>
    <w:tbl>
      <w:tblPr>
        <w:tblStyle w:val="TableNormal"/>
        <w:tblCaption w:val="table_54_net_debt_recon_pre"/>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Carrying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amount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January</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Cash</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flows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Changes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exchange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rates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Other</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non-cash</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move-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ments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Acquisi-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tions and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disposals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Carrying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amount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on 31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December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Lease liabilities</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188</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interest-bearing debt, non-current</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851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155</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interest-bearing debt, current</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receivables</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and cash equivalents*</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-369</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-601</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-932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 debt</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726</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-374</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394</w:t>
            </w:r>
          </w:p>
        </w:tc>
      </w:tr>
    </w:tbl>
    <w:p w:rsidR="00E90BB0" w:rsidP="002119C9" w14:paraId="38855AA7" w14:textId="6EF39A72">
      <w:pPr>
        <w:pStyle w:val="Bodytext2"/>
      </w:pPr>
    </w:p>
    <w:p w:rsidR="00E90BB0" w:rsidRPr="006B295D" w:rsidP="002119C9" w14:paraId="12790931" w14:textId="17907034">
      <w:pPr>
        <w:pStyle w:val="Bodytext2"/>
        <w:rPr>
          <w:sz w:val="2"/>
          <w:szCs w:val="2"/>
        </w:rPr>
      </w:pPr>
      <w:r w:rsidRPr="00785A4E">
        <w:t>* Includes cash and cash equivalents pertaining to assets held for sale.</w:t>
      </w:r>
    </w:p>
    <w:p/>
    <w:p w:rsidR="001730D9" w:rsidP="001730D9" w14:paraId="76922CE6" w14:textId="77777777">
      <w:pPr>
        <w:pStyle w:val="Heading12"/>
      </w:pPr>
      <w:bookmarkStart w:id="1486" w:name="RG_MARKER_7324"/>
      <w:r>
        <w:t>5.5. EQUITY</w:t>
      </w:r>
      <w:bookmarkEnd w:id="1486"/>
    </w:p>
    <w:p w:rsidR="001730D9" w:rsidP="001730D9" w14:paraId="60D17960" w14:textId="156CA33E">
      <w:pPr>
        <w:pStyle w:val="Bodytext2"/>
      </w:pPr>
      <w:r>
        <w:t>Equity consists of share capital, share premium, translation differences, fair value reserve, remeasurements of defined benefit liabilities and retained earnings.</w:t>
      </w:r>
    </w:p>
    <w:p w:rsidR="001730D9" w:rsidP="001730D9" w14:paraId="5F2A4199" w14:textId="77777777">
      <w:pPr>
        <w:pStyle w:val="Bodytext2"/>
      </w:pPr>
    </w:p>
    <w:p w:rsidR="001730D9" w:rsidP="001730D9" w14:paraId="73236FBC" w14:textId="2169352F">
      <w:pPr>
        <w:pStyle w:val="Heading13"/>
      </w:pPr>
      <w:r w:rsidRPr="009F5FE3">
        <w:t>Share capital and number of shares</w:t>
      </w:r>
    </w:p>
    <w:p w:rsidR="008C5F31" w:rsidRPr="008C5F31" w:rsidP="008C5F31" w14:paraId="5C2A1055" w14:textId="2B078078">
      <w:pPr>
        <w:pStyle w:val="Bodytext2"/>
      </w:pPr>
      <w:r w:rsidRPr="00787A0C">
        <w:t>The Board of Directors of Wärtsilä Corporation decided to use the authorisation given by the Annual General Meeting repurchase the Company’s own shares. The repurchases started on 27 April 2021 and ended on 5 May 2021. Following the repurchases, the Compan</w:t>
      </w:r>
      <w:r w:rsidRPr="00787A0C">
        <w:t>y holds a total of 1,700,000 shares. The repurchased shares are to be used for pay-outs under the share-based incentive programmes of Wärtsilä Corporation.</w:t>
      </w:r>
    </w:p>
    <w:p w:rsidR="001730D9" w:rsidRPr="009F5FE3" w:rsidP="001730D9" w14:paraId="31826161" w14:textId="77777777">
      <w:pPr>
        <w:pStyle w:val="Bodytext2"/>
        <w:rPr>
          <w:b/>
          <w:bCs/>
        </w:rPr>
      </w:pPr>
    </w:p>
    <w:tbl>
      <w:tblPr>
        <w:tblStyle w:val="TableNormal"/>
        <w:tblCaption w:val="table_55_share_capital"/>
        <w:tblW w:w="7335" w:type="dxa"/>
        <w:tblLayout w:type="fixed"/>
        <w:tblLook w:val="0600"/>
      </w:tblPr>
      <w:tblGrid>
        <w:gridCol w:w="3960"/>
        <w:gridCol w:w="1125"/>
        <w:gridCol w:w="1125"/>
        <w:gridCol w:w="1125"/>
      </w:tblGrid>
      <w:tr>
        <w:tblPrEx>
          <w:tblW w:w="7335" w:type="dxa"/>
          <w:tblLayout w:type="fixed"/>
          <w:tblLook w:val="0600"/>
        </w:tblPrEx>
        <w:trPr>
          <w:trHeight w:val="240"/>
        </w:trPr>
        <w:tc>
          <w:tcPr>
            <w:tcW w:w="396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1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8" w:space="0" w:color="0F172B"/>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Share capital</w:t>
            </w:r>
          </w:p>
        </w:tc>
        <w:tc>
          <w:tcPr>
            <w:tcW w:w="112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Share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capital</w:t>
            </w:r>
          </w:p>
        </w:tc>
        <w:tc>
          <w:tcPr>
            <w:tcW w:w="112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Share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premium</w:t>
            </w:r>
          </w:p>
        </w:tc>
        <w:tc>
          <w:tcPr>
            <w:tcW w:w="112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96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January 2020</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336</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397</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31 December 2020</w:t>
            </w:r>
          </w:p>
        </w:tc>
        <w:tc>
          <w:tcPr>
            <w:tcW w:w="1125"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336</w:t>
            </w:r>
          </w:p>
        </w:tc>
        <w:tc>
          <w:tcPr>
            <w:tcW w:w="1125"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c>
          <w:tcPr>
            <w:tcW w:w="1125"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397</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96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 December 2021</w:t>
            </w:r>
          </w:p>
        </w:tc>
        <w:tc>
          <w:tcPr>
            <w:tcW w:w="112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336</w:t>
            </w:r>
          </w:p>
        </w:tc>
        <w:tc>
          <w:tcPr>
            <w:tcW w:w="112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61</w:t>
            </w:r>
          </w:p>
        </w:tc>
        <w:tc>
          <w:tcPr>
            <w:tcW w:w="112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397</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960" w:type="dxa"/>
            <w:tcBorders>
              <w:top w:val="single" w:sz="8" w:space="0" w:color="0F172B"/>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125" w:type="dxa"/>
            <w:tcBorders>
              <w:top w:val="single" w:sz="8" w:space="0" w:color="0F172B"/>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8" w:space="0" w:color="0F172B"/>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8" w:space="0" w:color="0F172B"/>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96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12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960" w:type="dxa"/>
            <w:tcBorders>
              <w:top w:val="nil"/>
              <w:left w:val="nil"/>
              <w:bottom w:val="single" w:sz="8" w:space="0" w:color="000000"/>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Number of shares and votes</w:t>
            </w:r>
          </w:p>
        </w:tc>
        <w:tc>
          <w:tcPr>
            <w:tcW w:w="1125" w:type="dxa"/>
            <w:tcBorders>
              <w:top w:val="nil"/>
              <w:left w:val="nil"/>
              <w:bottom w:val="single" w:sz="8" w:space="0" w:color="000000"/>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nil"/>
              <w:left w:val="nil"/>
              <w:bottom w:val="single" w:sz="8" w:space="0" w:color="000000"/>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nil"/>
              <w:left w:val="nil"/>
              <w:bottom w:val="single" w:sz="8" w:space="0" w:color="000000"/>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8" w:space="0" w:color="000000"/>
              <w:left w:val="nil"/>
              <w:bottom w:val="single" w:sz="4"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Number of shares outstanding on 31 December 2020</w:t>
            </w:r>
          </w:p>
        </w:tc>
        <w:tc>
          <w:tcPr>
            <w:tcW w:w="1125" w:type="dxa"/>
            <w:tcBorders>
              <w:top w:val="single" w:sz="8"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00000"/>
              <w:left w:val="nil"/>
              <w:bottom w:val="single" w:sz="4" w:space="0" w:color="000000"/>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591,723,390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0000"/>
              <w:left w:val="nil"/>
              <w:bottom w:val="single" w:sz="4" w:space="0" w:color="000000"/>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Repurchase of own shares on 27 April 2021</w:t>
            </w: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-250,000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0000"/>
              <w:left w:val="nil"/>
              <w:bottom w:val="single" w:sz="4" w:space="0" w:color="000000"/>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Repurchase of own shares on 28 April 2021</w:t>
            </w: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-290,000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0000"/>
              <w:left w:val="nil"/>
              <w:bottom w:val="single" w:sz="4" w:space="0" w:color="000000"/>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Repurchase of own shares on 29 April 2021</w:t>
            </w: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-400,000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0000"/>
              <w:left w:val="nil"/>
              <w:bottom w:val="single" w:sz="4" w:space="0" w:color="000000"/>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Repurchase of own shares on 30 April 2021</w:t>
            </w: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-160,000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0000"/>
              <w:left w:val="nil"/>
              <w:bottom w:val="single" w:sz="4" w:space="0" w:color="000000"/>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Repurchase of own shares on 3 May 2021</w:t>
            </w: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-200,000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0000"/>
              <w:left w:val="nil"/>
              <w:bottom w:val="single" w:sz="4" w:space="0" w:color="000000"/>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Repurchase of own shares on 4 May 2021</w:t>
            </w: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-250,000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0000"/>
              <w:left w:val="nil"/>
              <w:bottom w:val="single" w:sz="8" w:space="0" w:color="0F172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Repurchase of own shares on 5 May 2021</w:t>
            </w:r>
          </w:p>
        </w:tc>
        <w:tc>
          <w:tcPr>
            <w:tcW w:w="1125" w:type="dxa"/>
            <w:tcBorders>
              <w:top w:val="single" w:sz="4" w:space="0" w:color="000000"/>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8" w:space="0" w:color="0F172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-150,000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8" w:space="0" w:color="0F172B"/>
              <w:left w:val="nil"/>
              <w:bottom w:val="single" w:sz="4"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Number of shares outstanding on 31 December 2021</w:t>
            </w:r>
          </w:p>
        </w:tc>
        <w:tc>
          <w:tcPr>
            <w:tcW w:w="1125" w:type="dxa"/>
            <w:tcBorders>
              <w:top w:val="single" w:sz="8" w:space="0" w:color="0F172B"/>
              <w:left w:val="nil"/>
              <w:bottom w:val="single" w:sz="4" w:space="0" w:color="000000"/>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8" w:space="0" w:color="0F172B"/>
              <w:left w:val="nil"/>
              <w:bottom w:val="single" w:sz="4" w:space="0" w:color="000000"/>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8" w:space="0" w:color="0F172B"/>
              <w:left w:val="nil"/>
              <w:bottom w:val="single" w:sz="4" w:space="0" w:color="000000"/>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590,023,390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0000"/>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125" w:type="dxa"/>
            <w:tcBorders>
              <w:top w:val="single" w:sz="4" w:space="0" w:color="000000"/>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0000"/>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0000"/>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Weighted average number of shares outstanding during the period</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590,579,335</w:t>
            </w:r>
          </w:p>
        </w:tc>
      </w:tr>
    </w:tbl>
    <w:p w:rsidR="001730D9" w:rsidRPr="009F5FE3" w:rsidP="001730D9" w14:paraId="035CC034" w14:textId="77777777">
      <w:pPr>
        <w:pStyle w:val="Bodytext2"/>
      </w:pPr>
    </w:p>
    <w:p w:rsidR="001730D9" w:rsidRPr="009F5FE3" w:rsidP="001730D9" w14:paraId="1846317B" w14:textId="77777777">
      <w:pPr>
        <w:pStyle w:val="Bodytext2"/>
      </w:pPr>
      <w:r w:rsidRPr="009F5FE3">
        <w:t>Wärtsilä's share does not have a nominal value. Wärtsilä has one serie</w:t>
      </w:r>
      <w:r w:rsidRPr="009F5FE3">
        <w:t>s of shares. Each share is assigned one vote in the Annual General Meeting and has an equal right to dividend.</w:t>
      </w:r>
    </w:p>
    <w:p w:rsidR="001730D9" w:rsidRPr="009F5FE3" w:rsidP="001730D9" w14:paraId="57E50410" w14:textId="77777777">
      <w:pPr>
        <w:pStyle w:val="Bodytext2"/>
      </w:pPr>
    </w:p>
    <w:p w:rsidR="001730D9" w:rsidRPr="009F5FE3" w:rsidP="001730D9" w14:paraId="07D9C57D" w14:textId="77777777">
      <w:pPr>
        <w:pStyle w:val="Heading13"/>
      </w:pPr>
      <w:r w:rsidRPr="009F5FE3">
        <w:t>Share Capital</w:t>
      </w:r>
    </w:p>
    <w:p w:rsidR="001730D9" w:rsidRPr="009F5FE3" w:rsidP="001730D9" w14:paraId="487A008F" w14:textId="77777777">
      <w:pPr>
        <w:pStyle w:val="Bodytext2"/>
      </w:pPr>
      <w:r w:rsidRPr="009F5FE3">
        <w:t>The subscription price of a share received by the company in connection with share issues is credited to the share capital, unless</w:t>
      </w:r>
      <w:r w:rsidRPr="009F5FE3">
        <w:t xml:space="preserve"> it is provided in the share issue decision that a part of the subscription price is to be recorded in the fund for invested non-restricted equity.</w:t>
      </w:r>
    </w:p>
    <w:p w:rsidR="001730D9" w:rsidRPr="009F5FE3" w:rsidP="001730D9" w14:paraId="0B7457FA" w14:textId="77777777">
      <w:pPr>
        <w:pStyle w:val="Bodytext2"/>
      </w:pPr>
    </w:p>
    <w:p w:rsidR="001730D9" w:rsidRPr="009F5FE3" w:rsidP="001730D9" w14:paraId="095FC620" w14:textId="77777777">
      <w:pPr>
        <w:pStyle w:val="Heading13"/>
      </w:pPr>
      <w:r w:rsidRPr="009F5FE3">
        <w:t>Share Premium</w:t>
      </w:r>
    </w:p>
    <w:p w:rsidR="001730D9" w:rsidRPr="009F5FE3" w:rsidP="001730D9" w14:paraId="3A4064DC" w14:textId="77777777">
      <w:pPr>
        <w:pStyle w:val="Bodytext2"/>
      </w:pPr>
      <w:r w:rsidRPr="009F5FE3">
        <w:t>Share premium is restricted equity. It may be reduced in accordance with the rules applying t</w:t>
      </w:r>
      <w:r w:rsidRPr="009F5FE3">
        <w:t>o decreasing share capital in accordance with the Finnish Limited Liability Companies Act. It can also be used to increase the share capital.</w:t>
      </w:r>
    </w:p>
    <w:p w:rsidR="001730D9" w:rsidRPr="009F5FE3" w:rsidP="001730D9" w14:paraId="536A1E58" w14:textId="77777777">
      <w:pPr>
        <w:pStyle w:val="Bodytext2"/>
      </w:pPr>
    </w:p>
    <w:p w:rsidR="001730D9" w:rsidRPr="009F5FE3" w:rsidP="001730D9" w14:paraId="291AE851" w14:textId="77777777">
      <w:pPr>
        <w:pStyle w:val="Heading13"/>
      </w:pPr>
      <w:r w:rsidRPr="009F5FE3">
        <w:t>Translation differences</w:t>
      </w:r>
    </w:p>
    <w:p w:rsidR="001730D9" w:rsidRPr="009F5FE3" w:rsidP="001730D9" w14:paraId="084F36CF" w14:textId="0C9B804F">
      <w:pPr>
        <w:pStyle w:val="Bodytext2"/>
      </w:pPr>
      <w:r w:rsidRPr="009F5FE3">
        <w:t xml:space="preserve">Translating foreign subsidiaries' financial statements by using different exchange rates </w:t>
      </w:r>
      <w:r w:rsidRPr="009F5FE3">
        <w:t>in the statement of comprehensive income and in the statement of financial position causes translation differences, which are recognised in equity. Translation differences of foreign subsidiaries’ acquisition cost eliminations and pos</w:t>
      </w:r>
      <w:r w:rsidRPr="009F5FE3" w:rsidR="00D1012D">
        <w:t xml:space="preserve">t- </w:t>
      </w:r>
      <w:r w:rsidRPr="009F5FE3">
        <w:t>acquisition gains a</w:t>
      </w:r>
      <w:r w:rsidRPr="009F5FE3">
        <w:t>nd losses are also presented in equity. Also</w:t>
      </w:r>
      <w:r w:rsidRPr="009F5FE3" w:rsidR="00D1012D">
        <w:t>,</w:t>
      </w:r>
      <w:r w:rsidRPr="009F5FE3">
        <w:t xml:space="preserve"> translation differences arising from subsidiary net investment</w:t>
      </w:r>
      <w:r>
        <w:t>s</w:t>
      </w:r>
      <w:r w:rsidRPr="009F5FE3">
        <w:t xml:space="preserve"> and non-current subsidiary loan</w:t>
      </w:r>
      <w:r>
        <w:t>s</w:t>
      </w:r>
      <w:r w:rsidRPr="009F5FE3">
        <w:t xml:space="preserve"> without agreed </w:t>
      </w:r>
      <w:r w:rsidRPr="009F5FE3">
        <w:rPr>
          <w:lang w:val="en-GB"/>
        </w:rPr>
        <w:t>settlement</w:t>
      </w:r>
      <w:r w:rsidRPr="009F5FE3">
        <w:t xml:space="preserve"> dates are presented in equity. The change in translation differences is recognised </w:t>
      </w:r>
      <w:r>
        <w:t>in</w:t>
      </w:r>
      <w:r w:rsidRPr="009F5FE3">
        <w:t xml:space="preserve"> o</w:t>
      </w:r>
      <w:r w:rsidRPr="009F5FE3">
        <w:t>ther comprehensive income.</w:t>
      </w:r>
    </w:p>
    <w:p w:rsidR="001730D9" w:rsidRPr="009F5FE3" w:rsidP="001730D9" w14:paraId="61F64C55" w14:textId="77777777">
      <w:pPr>
        <w:pStyle w:val="Bodytext2"/>
      </w:pPr>
    </w:p>
    <w:p w:rsidR="001730D9" w:rsidRPr="009F5FE3" w:rsidP="001730D9" w14:paraId="40DB4E5E" w14:textId="77777777">
      <w:pPr>
        <w:pStyle w:val="Heading13"/>
      </w:pPr>
      <w:r w:rsidRPr="009F5FE3">
        <w:t>Fair value reserve</w:t>
      </w:r>
    </w:p>
    <w:p w:rsidR="001730D9" w:rsidRPr="00974921" w:rsidP="001730D9" w14:paraId="385A3ECC" w14:textId="652BEE72">
      <w:pPr>
        <w:pStyle w:val="Bodytext2"/>
        <w:rPr>
          <w:sz w:val="2"/>
          <w:szCs w:val="2"/>
        </w:rPr>
      </w:pPr>
      <w:r w:rsidRPr="009F5FE3">
        <w:t xml:space="preserve">Fair value reserve includes the changes in fair value of derivative financial instruments if the hedging is effective and eligible for hedge accounting. The changes in items included in fair value reserve are </w:t>
      </w:r>
      <w:r w:rsidRPr="009F5FE3">
        <w:t>recognised in other comprehensive income.</w:t>
      </w:r>
      <w:r>
        <w:br w:type="column"/>
      </w:r>
    </w:p>
    <w:p w:rsidR="00D1012D" w:rsidRPr="009F5FE3" w:rsidP="001730D9" w14:paraId="47D2497C" w14:textId="65966D54">
      <w:pPr>
        <w:pStyle w:val="Bodytext2"/>
      </w:pPr>
      <w:r w:rsidRPr="009F5FE3">
        <w:t>In 202</w:t>
      </w:r>
      <w:r>
        <w:t>1</w:t>
      </w:r>
      <w:r w:rsidRPr="009F5FE3">
        <w:t xml:space="preserve">, EUR </w:t>
      </w:r>
      <w:r>
        <w:t>-12</w:t>
      </w:r>
      <w:r w:rsidRPr="009F5FE3">
        <w:t xml:space="preserve"> million (</w:t>
      </w:r>
      <w:r>
        <w:t>-</w:t>
      </w:r>
      <w:r w:rsidRPr="009F5FE3">
        <w:t>4) of fair value adjustments related to cash flow hedges w</w:t>
      </w:r>
      <w:r>
        <w:t>as</w:t>
      </w:r>
      <w:r w:rsidRPr="009F5FE3">
        <w:t xml:space="preserve"> recognised in equity. EUR </w:t>
      </w:r>
      <w:r>
        <w:t>4</w:t>
      </w:r>
      <w:r w:rsidRPr="009F5FE3">
        <w:t xml:space="preserve"> million (</w:t>
      </w:r>
      <w:r>
        <w:t>6</w:t>
      </w:r>
      <w:r w:rsidRPr="009F5FE3">
        <w:t>) of the fair value adjustments w</w:t>
      </w:r>
      <w:r>
        <w:t>as</w:t>
      </w:r>
      <w:r w:rsidRPr="009F5FE3">
        <w:t xml:space="preserve"> transferred from equity to the statement of income </w:t>
      </w:r>
      <w:r w:rsidRPr="009F5FE3">
        <w:t>as net sales or operating expenses during 202</w:t>
      </w:r>
      <w:r>
        <w:t>1</w:t>
      </w:r>
      <w:r w:rsidRPr="009F5FE3">
        <w:t>.</w:t>
      </w:r>
    </w:p>
    <w:p w:rsidR="001730D9" w:rsidRPr="009F5FE3" w:rsidP="001730D9" w14:paraId="7927D8FE" w14:textId="77777777">
      <w:pPr>
        <w:pStyle w:val="Bodytext2"/>
      </w:pPr>
    </w:p>
    <w:tbl>
      <w:tblPr>
        <w:tblStyle w:val="TableNormal"/>
        <w:tblCaption w:val="table_55_FV_reserve"/>
        <w:tblW w:w="7335" w:type="dxa"/>
        <w:tblLayout w:type="fixed"/>
        <w:tblLook w:val="0600"/>
      </w:tblPr>
      <w:tblGrid>
        <w:gridCol w:w="3960"/>
        <w:gridCol w:w="1125"/>
        <w:gridCol w:w="1125"/>
        <w:gridCol w:w="1125"/>
      </w:tblGrid>
      <w:tr>
        <w:tblPrEx>
          <w:tblW w:w="7335" w:type="dxa"/>
          <w:tblLayout w:type="fixed"/>
          <w:tblLook w:val="0600"/>
        </w:tblPrEx>
        <w:trPr>
          <w:trHeight w:val="240"/>
        </w:trPr>
        <w:tc>
          <w:tcPr>
            <w:tcW w:w="396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1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Cash flow</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hedges</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Fair value reserve on 1 January 2020</w:t>
            </w: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Taxes related to fair value adjustments</w:t>
            </w:r>
          </w:p>
        </w:tc>
        <w:tc>
          <w:tcPr>
            <w:tcW w:w="1125"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8" w:space="0" w:color="0F172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Fair value reserve on 1 January 2020</w:t>
            </w: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Transferred to the statement of income, net of taxes</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Fair value adjustments</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Taxes related to fair value adjustments</w:t>
            </w:r>
          </w:p>
        </w:tc>
        <w:tc>
          <w:tcPr>
            <w:tcW w:w="1125"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8" w:space="0" w:color="0F172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Fair value reserve on 31 December 2020</w:t>
            </w: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Transferred to the statement of income, net of taxes</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Fair value adjustments</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Taxes related to fair value adjustments</w:t>
            </w:r>
          </w:p>
        </w:tc>
        <w:tc>
          <w:tcPr>
            <w:tcW w:w="1125"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8" w:space="0" w:color="0F172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Fair value reserve on 31 December 2021</w:t>
            </w:r>
          </w:p>
        </w:tc>
        <w:tc>
          <w:tcPr>
            <w:tcW w:w="1125"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8" w:space="0" w:color="0F172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r>
    </w:tbl>
    <w:p w:rsidR="001730D9" w:rsidRPr="009F5FE3" w:rsidP="001730D9" w14:paraId="45872E27" w14:textId="77777777">
      <w:pPr>
        <w:pStyle w:val="Bodytext2"/>
      </w:pPr>
    </w:p>
    <w:p w:rsidR="001730D9" w:rsidRPr="009F5FE3" w:rsidP="001730D9" w14:paraId="6E0259B1" w14:textId="77777777">
      <w:pPr>
        <w:pStyle w:val="Heading13"/>
      </w:pPr>
      <w:r w:rsidRPr="009F5FE3">
        <w:t>Parent company's distributable funds</w:t>
      </w:r>
    </w:p>
    <w:tbl>
      <w:tblPr>
        <w:tblStyle w:val="TableGrid0"/>
        <w:tblW w:w="7371" w:type="dxa"/>
        <w:tblInd w:w="5" w:type="dxa"/>
        <w:tblLook w:val="04A0"/>
      </w:tblPr>
      <w:tblGrid>
        <w:gridCol w:w="7371"/>
      </w:tblGrid>
      <w:tr w14:paraId="3933DCDB" w14:textId="77777777" w:rsidTr="001730D9">
        <w:tblPrEx>
          <w:tblW w:w="7371" w:type="dxa"/>
          <w:tblInd w:w="5" w:type="dxa"/>
          <w:tblLook w:val="04A0"/>
        </w:tblPrEx>
        <w:tc>
          <w:tcPr>
            <w:tcW w:w="7361" w:type="dxa"/>
            <w:shd w:val="clear" w:color="auto" w:fill="B6C8D1"/>
            <w:hideMark/>
          </w:tcPr>
          <w:p w:rsidR="001730D9" w:rsidRPr="009F5FE3" w:rsidP="001730D9" w14:paraId="6B37DF19" w14:textId="77777777">
            <w:pPr>
              <w:pStyle w:val="Heading13"/>
              <w:rPr>
                <w:color w:val="auto"/>
                <w:lang w:val="en-GB"/>
              </w:rPr>
            </w:pPr>
            <w:r w:rsidRPr="009F5FE3">
              <w:rPr>
                <w:lang w:val="en-GB"/>
              </w:rPr>
              <w:t>Accounting principles</w:t>
            </w:r>
          </w:p>
          <w:p w:rsidR="001730D9" w:rsidRPr="00D1012D" w:rsidP="001730D9" w14:paraId="5976AF67" w14:textId="77777777">
            <w:pPr>
              <w:pStyle w:val="Bodytext2"/>
              <w:rPr>
                <w:lang w:val="en-GB"/>
              </w:rPr>
            </w:pPr>
            <w:r w:rsidRPr="009F5FE3">
              <w:rPr>
                <w:lang w:val="en-GB"/>
              </w:rPr>
              <w:t xml:space="preserve">The dividend proposed by the Board of Directors is deducted from distributable equity when approved by the </w:t>
            </w:r>
            <w:r w:rsidRPr="009F5FE3">
              <w:rPr>
                <w:lang w:val="en-GB"/>
              </w:rPr>
              <w:t>company’s Annual General Meeting. Unpaid dividends are presented as liability in the consolidated financial statements.</w:t>
            </w:r>
          </w:p>
        </w:tc>
      </w:tr>
    </w:tbl>
    <w:p w:rsidR="001730D9" w:rsidP="001730D9" w14:paraId="15ACA09E" w14:textId="77777777">
      <w:pPr>
        <w:pStyle w:val="Bodytext2"/>
        <w:rPr>
          <w:b/>
          <w:bCs/>
          <w:lang w:eastAsia="fi-FI"/>
        </w:rPr>
      </w:pPr>
    </w:p>
    <w:p w:rsidR="001730D9" w:rsidP="001730D9" w14:paraId="1A9A85D2" w14:textId="44AF6AB8">
      <w:pPr>
        <w:pStyle w:val="Bodytext2"/>
      </w:pPr>
      <w:r>
        <w:t xml:space="preserve">After the balance sheet date, the Board of Directors proposed that a dividend of </w:t>
      </w:r>
      <w:r w:rsidRPr="00947F05">
        <w:t xml:space="preserve">EUR </w:t>
      </w:r>
      <w:r>
        <w:t>0.24</w:t>
      </w:r>
      <w:r>
        <w:t xml:space="preserve"> per share be paid for the financial period 2021, the total dividend payable being EUR 142</w:t>
      </w:r>
      <w:r>
        <w:t xml:space="preserve"> million. The remaining part of the retained profits will be carried further in </w:t>
      </w:r>
      <w:r>
        <w:t>the unrestricted equity. For the profit for the financial period 2020, a dividend of EUR 0.20 per share was distributed, totalling EUR 118 million, and the rest of the retained profits were carried further in the unrestricted equity.</w:t>
      </w:r>
    </w:p>
    <w:p w:rsidR="001730D9" w:rsidP="001730D9" w14:paraId="350C9A83" w14:textId="77777777">
      <w:pPr>
        <w:pStyle w:val="Bodytext2"/>
      </w:pPr>
    </w:p>
    <w:p w:rsidR="001730D9" w:rsidRPr="00035397" w:rsidP="001730D9" w14:paraId="066D5133" w14:textId="69C5E24C">
      <w:pPr>
        <w:pStyle w:val="Bodytext2"/>
        <w:rPr>
          <w:color w:val="auto"/>
          <w:sz w:val="2"/>
          <w:szCs w:val="2"/>
          <w:lang w:val="fi-FI"/>
        </w:rPr>
      </w:pPr>
      <w:r>
        <w:t>Additional informatio</w:t>
      </w:r>
      <w:r>
        <w:t>n on equity is presented in Notes to the parent company financial statements, in Note 10. Shareholders' equity.</w:t>
      </w:r>
      <w:r>
        <w:br w:type="column"/>
      </w:r>
    </w:p>
    <w:p w:rsidR="000F5D1B" w:rsidP="000F5D1B" w14:paraId="7C136334" w14:textId="77777777">
      <w:pPr>
        <w:pStyle w:val="Heading12"/>
      </w:pPr>
      <w:bookmarkStart w:id="1487" w:name="RG_MARKER_7325"/>
      <w:r>
        <w:t>5.6. MATURITY ANALYSIS OF FINANCIAL LIABILITIES</w:t>
      </w:r>
      <w:bookmarkEnd w:id="1487"/>
    </w:p>
    <w:p w:rsidR="000F5D1B" w:rsidP="000F5D1B" w14:paraId="0ED1B1C3" w14:textId="77777777">
      <w:pPr>
        <w:pStyle w:val="Bodytext2"/>
      </w:pPr>
    </w:p>
    <w:p w:rsidR="000F5D1B" w:rsidRPr="000F5D1B" w:rsidP="000F5D1B" w14:paraId="1D9D40A9" w14:textId="0FDF02A4">
      <w:pPr>
        <w:pStyle w:val="Heading13"/>
      </w:pPr>
      <w:r w:rsidRPr="000F5D1B">
        <w:t>202</w:t>
      </w:r>
      <w:r>
        <w:t>1</w:t>
      </w:r>
    </w:p>
    <w:tbl>
      <w:tblPr>
        <w:tblStyle w:val="TableNormal"/>
        <w:tblCaption w:val="table_56_cur"/>
        <w:tblW w:w="7290" w:type="dxa"/>
        <w:tblLayout w:type="fixed"/>
        <w:tblLook w:val="0600"/>
      </w:tblPr>
      <w:tblGrid>
        <w:gridCol w:w="2565"/>
        <w:gridCol w:w="945"/>
        <w:gridCol w:w="945"/>
        <w:gridCol w:w="945"/>
        <w:gridCol w:w="945"/>
        <w:gridCol w:w="945"/>
      </w:tblGrid>
      <w:tr>
        <w:tblPrEx>
          <w:tblW w:w="7290" w:type="dxa"/>
          <w:tblLayout w:type="fixed"/>
          <w:tblLook w:val="0600"/>
        </w:tblPrEx>
        <w:trPr>
          <w:trHeight w:val="240"/>
        </w:trPr>
        <w:tc>
          <w:tcPr>
            <w:tcW w:w="256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45" w:type="dxa"/>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w:t>
            </w:r>
          </w:p>
        </w:tc>
        <w:tc>
          <w:tcPr>
            <w:tcW w:w="945" w:type="dxa"/>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Non-current</w:t>
            </w:r>
          </w:p>
        </w:tc>
        <w:tc>
          <w:tcPr>
            <w:tcW w:w="94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&lt; 1 year</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 years</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3–5 years</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&gt; 5 years</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nil"/>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Loans from other financial institutions*</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82</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287</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302</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104</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776</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Lease liabilities</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43</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216</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payables</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714</w:t>
            </w:r>
          </w:p>
        </w:tc>
        <w:tc>
          <w:tcPr>
            <w:tcW w:w="94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714</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liabilities</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9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858</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356</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342</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178</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1,733</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Estimated interest expenses, total</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Estimated contractual cash flows</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863</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363</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345</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178</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1,749</w:t>
            </w:r>
          </w:p>
        </w:tc>
      </w:tr>
    </w:tbl>
    <w:p w:rsidR="000F5D1B" w:rsidRPr="000F5D1B" w:rsidP="000F5D1B" w14:paraId="0C00560F" w14:textId="77777777">
      <w:pPr>
        <w:pStyle w:val="Bodytext2"/>
      </w:pPr>
    </w:p>
    <w:p w:rsidR="000F5D1B" w:rsidRPr="000F5D1B" w:rsidP="000F5D1B" w14:paraId="03F222FE" w14:textId="4CDED26C">
      <w:pPr>
        <w:pStyle w:val="Heading13"/>
      </w:pPr>
      <w:r w:rsidRPr="000F5D1B">
        <w:t>20</w:t>
      </w:r>
      <w:r>
        <w:t>20</w:t>
      </w:r>
    </w:p>
    <w:tbl>
      <w:tblPr>
        <w:tblStyle w:val="TableNormal"/>
        <w:tblCaption w:val="table_56_pre"/>
        <w:tblW w:w="7290" w:type="dxa"/>
        <w:tblLayout w:type="fixed"/>
        <w:tblLook w:val="0600"/>
      </w:tblPr>
      <w:tblGrid>
        <w:gridCol w:w="2565"/>
        <w:gridCol w:w="945"/>
        <w:gridCol w:w="945"/>
        <w:gridCol w:w="945"/>
        <w:gridCol w:w="945"/>
        <w:gridCol w:w="945"/>
      </w:tblGrid>
      <w:tr>
        <w:tblPrEx>
          <w:tblW w:w="7290" w:type="dxa"/>
          <w:tblLayout w:type="fixed"/>
          <w:tblLook w:val="0600"/>
        </w:tblPrEx>
        <w:trPr>
          <w:trHeight w:val="240"/>
        </w:trPr>
        <w:tc>
          <w:tcPr>
            <w:tcW w:w="256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45" w:type="dxa"/>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w:t>
            </w:r>
          </w:p>
        </w:tc>
        <w:tc>
          <w:tcPr>
            <w:tcW w:w="945" w:type="dxa"/>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Non-current</w:t>
            </w:r>
          </w:p>
        </w:tc>
        <w:tc>
          <w:tcPr>
            <w:tcW w:w="94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&lt; 1 year</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 years</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3–5 years</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&gt; 5 years</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Loans from other financial institutions*</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155</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481</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232</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292</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1,160</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Lease liabilities</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59</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190</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interest-bearing debt*</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payables</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411</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411</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liabilities</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9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629</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545</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270</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350</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1,794</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Estimated interest expenses, total</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Estimated contractual cash flows</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637</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557</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276</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353</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1,822</w:t>
            </w:r>
          </w:p>
        </w:tc>
      </w:tr>
    </w:tbl>
    <w:p w:rsidR="000F5D1B" w:rsidRPr="000F5D1B" w:rsidP="000F5D1B" w14:paraId="2A061297" w14:textId="77777777">
      <w:pPr>
        <w:pStyle w:val="Bodytext2"/>
      </w:pPr>
    </w:p>
    <w:p w:rsidR="000F5D1B" w:rsidRPr="000F5D1B" w:rsidP="000F5D1B" w14:paraId="4604006C" w14:textId="45405A7C">
      <w:pPr>
        <w:pStyle w:val="Bodytext2"/>
      </w:pPr>
      <w:r w:rsidRPr="000F5D1B">
        <w:t>** Valuation for derivatives with negative market value by maturity date. Nominal contractual amounts are presented in Note 5.7.</w:t>
      </w:r>
      <w:r>
        <w:t xml:space="preserve"> </w:t>
      </w:r>
      <w:r w:rsidRPr="000F5D1B">
        <w:t>Derivative</w:t>
      </w:r>
      <w:r w:rsidRPr="000F5D1B">
        <w:t xml:space="preserve"> financial instruments.</w:t>
      </w:r>
    </w:p>
    <w:p w:rsidR="000F5D1B" w:rsidRPr="000F5D1B" w:rsidP="000F5D1B" w14:paraId="229119B6" w14:textId="77777777">
      <w:pPr>
        <w:pStyle w:val="Bodytext2"/>
      </w:pPr>
    </w:p>
    <w:p w:rsidR="00993588" w:rsidP="000F5D1B" w14:paraId="17172969" w14:textId="441DF68D">
      <w:pPr>
        <w:pStyle w:val="Bodytext2"/>
      </w:pPr>
      <w:r w:rsidRPr="000F5D1B">
        <w:t>Interest expenses for long-term loans are calculated by using the average interest rate prevailing on 31 December 202</w:t>
      </w:r>
      <w:r>
        <w:t>1</w:t>
      </w:r>
      <w:r w:rsidRPr="000F5D1B">
        <w:t>.</w:t>
      </w:r>
    </w:p>
    <w:p w:rsidR="00993588" w:rsidP="000F5D1B" w14:paraId="0104EB4E" w14:textId="77777777">
      <w:pPr>
        <w:pStyle w:val="Bodytext2"/>
      </w:pPr>
    </w:p>
    <w:p w:rsidR="000F5D1B" w:rsidRPr="000F5D1B" w:rsidP="000F5D1B" w14:paraId="7C405177" w14:textId="7217BAC7">
      <w:pPr>
        <w:pStyle w:val="Bodytext2"/>
      </w:pPr>
      <w:r w:rsidRPr="000F5D1B">
        <w:t xml:space="preserve">Fair values of financial liabilities </w:t>
      </w:r>
      <w:r>
        <w:t>as well as i</w:t>
      </w:r>
      <w:r w:rsidRPr="000F5D1B">
        <w:t>nformation on measurement categories of financial liabilities</w:t>
      </w:r>
      <w:r>
        <w:t xml:space="preserve"> </w:t>
      </w:r>
      <w:r w:rsidRPr="000F5D1B">
        <w:t>are presented in Note 5.2. Financial assets and liabilities by measuremen</w:t>
      </w:r>
      <w:r w:rsidRPr="000F5D1B">
        <w:t>t category</w:t>
      </w:r>
      <w:r w:rsidRPr="000F5D1B">
        <w:t>.</w:t>
      </w:r>
    </w:p>
    <w:p/>
    <w:p w:rsidR="00117709" w:rsidP="00117709" w14:paraId="695141EA" w14:textId="77777777">
      <w:pPr>
        <w:pStyle w:val="Heading12"/>
      </w:pPr>
      <w:bookmarkStart w:id="1488" w:name="RG_MARKER_7326"/>
      <w:r>
        <w:t>5.7. DERIVATIVE FINANCIAL INSTRUMENTS</w:t>
      </w:r>
      <w:bookmarkEnd w:id="1488"/>
    </w:p>
    <w:tbl>
      <w:tblPr>
        <w:tblStyle w:val="TableGrid"/>
        <w:tblW w:w="7371" w:type="dxa"/>
        <w:tblLook w:val="04A0"/>
      </w:tblPr>
      <w:tblGrid>
        <w:gridCol w:w="7371"/>
      </w:tblGrid>
      <w:tr w14:paraId="6F0397FE" w14:textId="77777777" w:rsidTr="00117709">
        <w:tblPrEx>
          <w:tblW w:w="7371" w:type="dxa"/>
          <w:tblLook w:val="04A0"/>
        </w:tblPrEx>
        <w:tc>
          <w:tcPr>
            <w:tcW w:w="7371" w:type="dxa"/>
            <w:tcBorders>
              <w:top w:val="nil"/>
              <w:left w:val="nil"/>
              <w:bottom w:val="nil"/>
              <w:right w:val="nil"/>
            </w:tcBorders>
            <w:shd w:val="clear" w:color="auto" w:fill="B6C8D1"/>
          </w:tcPr>
          <w:p w:rsidR="00117709" w:rsidRPr="007C60CF" w:rsidP="00117709" w14:paraId="6D5A8CA4" w14:textId="77777777">
            <w:pPr>
              <w:pStyle w:val="Heading13"/>
              <w:rPr>
                <w:lang w:val="en-GB"/>
              </w:rPr>
            </w:pPr>
            <w:r w:rsidRPr="007C60CF">
              <w:rPr>
                <w:lang w:val="en-GB"/>
              </w:rPr>
              <w:t>Accounting principles</w:t>
            </w:r>
          </w:p>
          <w:p w:rsidR="00117709" w:rsidRPr="007C60CF" w:rsidP="00117709" w14:paraId="45D2593A" w14:textId="77777777">
            <w:pPr>
              <w:pStyle w:val="Heading13"/>
              <w:rPr>
                <w:color w:val="0F172B"/>
                <w:lang w:val="en-GB"/>
              </w:rPr>
            </w:pPr>
            <w:r w:rsidRPr="007C60CF">
              <w:rPr>
                <w:color w:val="0F172B"/>
                <w:lang w:val="en-GB"/>
              </w:rPr>
              <w:t>Derivatives and hedge accounting</w:t>
            </w:r>
          </w:p>
          <w:p w:rsidR="00117709" w:rsidRPr="007C60CF" w:rsidP="00117709" w14:paraId="31B5E468" w14:textId="70281850">
            <w:pPr>
              <w:pStyle w:val="Bodytext2"/>
              <w:rPr>
                <w:color w:val="0F172B"/>
                <w:lang w:val="en-GB"/>
              </w:rPr>
            </w:pPr>
            <w:r w:rsidRPr="007C60CF">
              <w:rPr>
                <w:color w:val="0F172B"/>
                <w:lang w:val="en-GB"/>
              </w:rPr>
              <w:t>Derivatives are initially recognised on the statement of financial position</w:t>
            </w:r>
            <w:r w:rsidRPr="007C60CF">
              <w:rPr>
                <w:color w:val="FF0000"/>
                <w:lang w:val="en-GB"/>
              </w:rPr>
              <w:t xml:space="preserve"> </w:t>
            </w:r>
            <w:r w:rsidRPr="007C60CF">
              <w:rPr>
                <w:color w:val="0F172B"/>
                <w:lang w:val="en-GB"/>
              </w:rPr>
              <w:t xml:space="preserve">at fair value and </w:t>
            </w:r>
            <w:r>
              <w:rPr>
                <w:color w:val="0F172B"/>
                <w:lang w:val="en-GB"/>
              </w:rPr>
              <w:t xml:space="preserve">are </w:t>
            </w:r>
            <w:r w:rsidRPr="007C60CF">
              <w:rPr>
                <w:color w:val="0F172B"/>
                <w:lang w:val="en-GB"/>
              </w:rPr>
              <w:t>subsequently classified and measured at their fair value at the end of each reporting period. Gains and losses from the fair value measurement are recognised in the statement of income as determined by the purpose of the derivatives.</w:t>
            </w:r>
          </w:p>
          <w:p w:rsidR="00117709" w:rsidRPr="007C60CF" w:rsidP="00117709" w14:paraId="2A08378F" w14:textId="77777777">
            <w:pPr>
              <w:pStyle w:val="Bodytext2"/>
              <w:rPr>
                <w:color w:val="0F172B"/>
                <w:lang w:val="en-GB"/>
              </w:rPr>
            </w:pPr>
          </w:p>
          <w:p w:rsidR="00117709" w:rsidRPr="007C60CF" w:rsidP="00117709" w14:paraId="18483142" w14:textId="3C90F671">
            <w:pPr>
              <w:pStyle w:val="Heading13"/>
              <w:rPr>
                <w:lang w:val="en-GB"/>
              </w:rPr>
            </w:pPr>
            <w:r w:rsidRPr="007C60CF">
              <w:rPr>
                <w:lang w:val="en-GB"/>
              </w:rPr>
              <w:t>Hedge accounting</w:t>
            </w:r>
          </w:p>
          <w:p w:rsidR="00106F25" w:rsidRPr="007C60CF" w:rsidP="00117709" w14:paraId="7F357316" w14:textId="2B7B85CC">
            <w:pPr>
              <w:pStyle w:val="Bodytext2"/>
              <w:rPr>
                <w:color w:val="0F172B"/>
                <w:lang w:val="en-GB"/>
              </w:rPr>
            </w:pPr>
            <w:r w:rsidRPr="007C60CF">
              <w:rPr>
                <w:color w:val="0F172B"/>
                <w:lang w:val="en-GB"/>
              </w:rPr>
              <w:t>Wärt</w:t>
            </w:r>
            <w:r w:rsidRPr="007C60CF">
              <w:rPr>
                <w:color w:val="0F172B"/>
                <w:lang w:val="en-GB"/>
              </w:rPr>
              <w:t>silä hedges its sales and purchases in foreign currencies with foreign exchange forwards or currency options, and Wärtsilä applies hedge accounting according to IFRS 9 to the majority of these foreign exchange forwards. Forward points are excluded from the</w:t>
            </w:r>
            <w:r w:rsidRPr="007C60CF">
              <w:rPr>
                <w:color w:val="0F172B"/>
                <w:lang w:val="en-GB"/>
              </w:rPr>
              <w:t xml:space="preserve"> hedge relationship, and in case of a hedge being fully or partially ineffective, the ineffective portion is immediately recognised in the financial items for the </w:t>
            </w:r>
            <w:r>
              <w:rPr>
                <w:color w:val="0F172B"/>
                <w:lang w:val="en-GB"/>
              </w:rPr>
              <w:t>reporting</w:t>
            </w:r>
            <w:r w:rsidRPr="007C60CF">
              <w:rPr>
                <w:color w:val="0F172B"/>
                <w:lang w:val="en-GB"/>
              </w:rPr>
              <w:t xml:space="preserve"> period. Wärtsilä may </w:t>
            </w:r>
            <w:r>
              <w:rPr>
                <w:color w:val="0F172B"/>
                <w:lang w:val="en-GB"/>
              </w:rPr>
              <w:t xml:space="preserve">also </w:t>
            </w:r>
            <w:r w:rsidRPr="007C60CF">
              <w:rPr>
                <w:color w:val="0F172B"/>
                <w:lang w:val="en-GB"/>
              </w:rPr>
              <w:t xml:space="preserve">apply cash flow hedging </w:t>
            </w:r>
            <w:r>
              <w:rPr>
                <w:color w:val="0F172B"/>
                <w:lang w:val="en-GB"/>
              </w:rPr>
              <w:t>to</w:t>
            </w:r>
            <w:r w:rsidRPr="007C60CF">
              <w:rPr>
                <w:color w:val="0F172B"/>
                <w:lang w:val="en-GB"/>
              </w:rPr>
              <w:t xml:space="preserve"> some of its interest rate deri</w:t>
            </w:r>
            <w:r w:rsidRPr="007C60CF">
              <w:rPr>
                <w:color w:val="0F172B"/>
                <w:lang w:val="en-GB"/>
              </w:rPr>
              <w:t>vatives.</w:t>
            </w:r>
          </w:p>
          <w:p w:rsidR="00C7724D" w:rsidRPr="007C60CF" w:rsidP="00117709" w14:paraId="62BC5DA6" w14:textId="77777777">
            <w:pPr>
              <w:pStyle w:val="Bodytext2"/>
              <w:rPr>
                <w:color w:val="0F172B"/>
                <w:lang w:val="en-GB"/>
              </w:rPr>
            </w:pPr>
          </w:p>
          <w:p w:rsidR="00117709" w:rsidRPr="007C60CF" w:rsidP="00106F25" w14:paraId="24966F52" w14:textId="1F174B02">
            <w:pPr>
              <w:pStyle w:val="Bodytext2"/>
              <w:rPr>
                <w:lang w:val="en-GB"/>
              </w:rPr>
            </w:pPr>
            <w:r w:rsidRPr="007C60CF">
              <w:rPr>
                <w:lang w:val="en-GB"/>
              </w:rPr>
              <w:t xml:space="preserve">The Group documents the relationship between each hedging instrument and the hedged </w:t>
            </w:r>
            <w:r w:rsidRPr="007C60CF" w:rsidR="00A44DD8">
              <w:rPr>
                <w:lang w:val="en-GB"/>
              </w:rPr>
              <w:t>item</w:t>
            </w:r>
            <w:r w:rsidRPr="007C60CF">
              <w:rPr>
                <w:lang w:val="en-GB"/>
              </w:rPr>
              <w:t xml:space="preserve"> upon entering into a hedging arrangement, along with the risk management objective and the strategy applied. Through this process, the hedging instrument is </w:t>
            </w:r>
            <w:r w:rsidRPr="007C60CF">
              <w:rPr>
                <w:lang w:val="en-GB"/>
              </w:rPr>
              <w:t>linked to the relevant assets and liabilities, projected business transactions</w:t>
            </w:r>
            <w:r>
              <w:rPr>
                <w:lang w:val="en-GB"/>
              </w:rPr>
              <w:t>,</w:t>
            </w:r>
            <w:r w:rsidRPr="007C60CF">
              <w:rPr>
                <w:lang w:val="en-GB"/>
              </w:rPr>
              <w:t xml:space="preserve"> or binding contracts.</w:t>
            </w:r>
          </w:p>
          <w:p w:rsidR="00117709" w:rsidRPr="007C60CF" w:rsidP="00117709" w14:paraId="256D3F45" w14:textId="77777777">
            <w:pPr>
              <w:pStyle w:val="Bodytext2"/>
              <w:rPr>
                <w:color w:val="0F172B"/>
                <w:lang w:val="en-GB"/>
              </w:rPr>
            </w:pPr>
          </w:p>
          <w:p w:rsidR="00117709" w:rsidRPr="007C60CF" w:rsidP="00117709" w14:paraId="6B20F9E7" w14:textId="34BCABAB">
            <w:pPr>
              <w:pStyle w:val="Bodytext2"/>
              <w:rPr>
                <w:color w:val="0F172B"/>
                <w:lang w:val="en-GB"/>
              </w:rPr>
            </w:pPr>
            <w:r w:rsidRPr="007C60CF">
              <w:rPr>
                <w:color w:val="0F172B"/>
                <w:lang w:val="en-GB"/>
              </w:rPr>
              <w:t>Wärtsilä designates its hedge relationships of foreign exchange hedges as either hedges of highly probable forecast transactions or firm commitments.</w:t>
            </w:r>
          </w:p>
          <w:p w:rsidR="00117709" w:rsidRPr="007C60CF" w:rsidP="00117709" w14:paraId="6B2009D4" w14:textId="77777777">
            <w:pPr>
              <w:pStyle w:val="Bodytext2"/>
              <w:rPr>
                <w:color w:val="0F172B"/>
                <w:lang w:val="en-GB"/>
              </w:rPr>
            </w:pPr>
          </w:p>
          <w:p w:rsidR="00117709" w:rsidRPr="007C60CF" w:rsidP="00117709" w14:paraId="4725EE0B" w14:textId="2542B87E">
            <w:pPr>
              <w:pStyle w:val="Bodytext2"/>
              <w:rPr>
                <w:color w:val="0F172B"/>
                <w:lang w:val="en-GB"/>
              </w:rPr>
            </w:pPr>
            <w:r w:rsidRPr="007C60CF">
              <w:rPr>
                <w:color w:val="0F172B"/>
                <w:lang w:val="en-GB"/>
              </w:rPr>
              <w:t>Th</w:t>
            </w:r>
            <w:r w:rsidRPr="007C60CF">
              <w:rPr>
                <w:color w:val="0F172B"/>
                <w:lang w:val="en-GB"/>
              </w:rPr>
              <w:t>e Group uses a hedge designation for foreign exchange</w:t>
            </w:r>
            <w:r w:rsidRPr="007C60CF">
              <w:rPr>
                <w:color w:val="FF0000"/>
                <w:lang w:val="en-GB"/>
              </w:rPr>
              <w:t xml:space="preserve"> </w:t>
            </w:r>
            <w:r w:rsidRPr="007C60CF">
              <w:rPr>
                <w:color w:val="0F172B"/>
                <w:lang w:val="en-GB"/>
              </w:rPr>
              <w:t>hedging, where critical terms match or are closely aligned between the hedging instrument and the hedged item. The hedge ratio is typically 100%. Since underlying risks match, hedging instruments are co</w:t>
            </w:r>
            <w:r w:rsidRPr="007C60CF">
              <w:rPr>
                <w:color w:val="0F172B"/>
                <w:lang w:val="en-GB"/>
              </w:rPr>
              <w:t xml:space="preserve">nsidered to offset any changes related to the hedged transactions. Wärtsilä recognises that potential sources of ineffectiveness arise when hedged transactions are delayed or cancelled. However, Wärtsilä applies </w:t>
            </w:r>
            <w:r>
              <w:rPr>
                <w:color w:val="0F172B"/>
                <w:lang w:val="en-GB"/>
              </w:rPr>
              <w:t xml:space="preserve">a </w:t>
            </w:r>
            <w:r w:rsidRPr="007C60CF">
              <w:rPr>
                <w:color w:val="0F172B"/>
                <w:lang w:val="en-GB"/>
              </w:rPr>
              <w:t>roll-forward strategy where derivatives ar</w:t>
            </w:r>
            <w:r w:rsidRPr="007C60CF">
              <w:rPr>
                <w:color w:val="0F172B"/>
                <w:lang w:val="en-GB"/>
              </w:rPr>
              <w:t>e roll-forwarded or terminated</w:t>
            </w:r>
            <w:r w:rsidRPr="007C60CF" w:rsidR="00A44DD8">
              <w:rPr>
                <w:color w:val="0F172B"/>
                <w:lang w:val="en-GB"/>
              </w:rPr>
              <w:t xml:space="preserve"> early</w:t>
            </w:r>
            <w:r w:rsidRPr="007C60CF">
              <w:rPr>
                <w:color w:val="0F172B"/>
                <w:lang w:val="en-GB"/>
              </w:rPr>
              <w:t xml:space="preserve"> to match these underlying transactions. Hedge effectiveness requirements are assessed in accordance with IFRS 9 requirements</w:t>
            </w:r>
            <w:r>
              <w:rPr>
                <w:color w:val="0F172B"/>
                <w:lang w:val="en-GB"/>
              </w:rPr>
              <w:t>,</w:t>
            </w:r>
            <w:r w:rsidRPr="007C60CF">
              <w:rPr>
                <w:color w:val="0F172B"/>
                <w:lang w:val="en-GB"/>
              </w:rPr>
              <w:t xml:space="preserve"> including requirements for economic relationship, credit risk and hedge ratio.</w:t>
            </w:r>
          </w:p>
          <w:p w:rsidR="00A44DD8" w:rsidRPr="007C60CF" w:rsidP="00117709" w14:paraId="13AF60A9" w14:textId="77777777">
            <w:pPr>
              <w:pStyle w:val="Bodytext2"/>
              <w:rPr>
                <w:color w:val="0F172B"/>
                <w:lang w:val="en-GB"/>
              </w:rPr>
            </w:pPr>
          </w:p>
          <w:p w:rsidR="00117709" w:rsidRPr="007C60CF" w:rsidP="00117709" w14:paraId="089D43D4" w14:textId="409BC157">
            <w:pPr>
              <w:pStyle w:val="Bodytext2"/>
              <w:rPr>
                <w:color w:val="0F172B"/>
                <w:lang w:val="en-GB"/>
              </w:rPr>
            </w:pPr>
            <w:r w:rsidRPr="007C60CF">
              <w:rPr>
                <w:color w:val="0F172B"/>
                <w:lang w:val="en-GB"/>
              </w:rPr>
              <w:t>External hedg</w:t>
            </w:r>
            <w:r w:rsidRPr="007C60CF">
              <w:rPr>
                <w:color w:val="0F172B"/>
                <w:lang w:val="en-GB"/>
              </w:rPr>
              <w:t>es are typically made for short maturities (up to 1 year) and only high credit quality (A- minimum rating requirement) counterparties are utilised</w:t>
            </w:r>
            <w:r>
              <w:rPr>
                <w:color w:val="0F172B"/>
                <w:lang w:val="en-GB"/>
              </w:rPr>
              <w:t>. C</w:t>
            </w:r>
            <w:r w:rsidRPr="007C60CF">
              <w:rPr>
                <w:color w:val="0F172B"/>
                <w:lang w:val="en-GB"/>
              </w:rPr>
              <w:t>ounterparty credit risk is expected to have minimal effect on hedge valuations. Due to some underlying hedg</w:t>
            </w:r>
            <w:r w:rsidRPr="007C60CF">
              <w:rPr>
                <w:color w:val="0F172B"/>
                <w:lang w:val="en-GB"/>
              </w:rPr>
              <w:t>ed cash flows having longer maturities than related hedges, the change</w:t>
            </w:r>
            <w:r>
              <w:rPr>
                <w:color w:val="0F172B"/>
                <w:lang w:val="en-GB"/>
              </w:rPr>
              <w:t>s</w:t>
            </w:r>
            <w:r w:rsidRPr="007C60CF">
              <w:rPr>
                <w:color w:val="0F172B"/>
                <w:lang w:val="en-GB"/>
              </w:rPr>
              <w:t xml:space="preserve"> in present value of the hedge and </w:t>
            </w:r>
            <w:r>
              <w:rPr>
                <w:color w:val="0F172B"/>
                <w:lang w:val="en-GB"/>
              </w:rPr>
              <w:t xml:space="preserve">the </w:t>
            </w:r>
            <w:r w:rsidRPr="007C60CF">
              <w:rPr>
                <w:color w:val="0F172B"/>
                <w:lang w:val="en-GB"/>
              </w:rPr>
              <w:t xml:space="preserve">underlying cash flow do not always fully offset each other during the lifetime of a hedge. This ineffectiveness is calculated on </w:t>
            </w:r>
            <w:r w:rsidRPr="007C60CF" w:rsidR="00A44DD8">
              <w:rPr>
                <w:color w:val="0F172B"/>
                <w:lang w:val="en-GB"/>
              </w:rPr>
              <w:t xml:space="preserve">a </w:t>
            </w:r>
            <w:r w:rsidRPr="007C60CF">
              <w:rPr>
                <w:color w:val="0F172B"/>
                <w:lang w:val="en-GB"/>
              </w:rPr>
              <w:t xml:space="preserve">quarterly basis and booked </w:t>
            </w:r>
            <w:r w:rsidRPr="007C60CF" w:rsidR="00A44DD8">
              <w:rPr>
                <w:color w:val="0F172B"/>
                <w:lang w:val="en-GB"/>
              </w:rPr>
              <w:t xml:space="preserve">in financial items </w:t>
            </w:r>
            <w:r>
              <w:rPr>
                <w:color w:val="0F172B"/>
                <w:lang w:val="en-GB"/>
              </w:rPr>
              <w:t>at</w:t>
            </w:r>
            <w:r w:rsidRPr="007C60CF">
              <w:rPr>
                <w:color w:val="0F172B"/>
                <w:lang w:val="en-GB"/>
              </w:rPr>
              <w:t xml:space="preserve"> Group level.</w:t>
            </w:r>
          </w:p>
          <w:p w:rsidR="00117709" w:rsidRPr="007C60CF" w:rsidP="00117709" w14:paraId="143FCC59" w14:textId="77777777">
            <w:pPr>
              <w:pStyle w:val="Bodytext2"/>
              <w:rPr>
                <w:color w:val="0F172B"/>
                <w:lang w:val="en-GB"/>
              </w:rPr>
            </w:pPr>
          </w:p>
          <w:p w:rsidR="00117709" w:rsidRPr="007C60CF" w:rsidP="00117709" w14:paraId="6E8F2BE0" w14:textId="77777777">
            <w:pPr>
              <w:pStyle w:val="Heading13"/>
              <w:rPr>
                <w:lang w:val="en-GB"/>
              </w:rPr>
            </w:pPr>
            <w:r w:rsidRPr="007C60CF">
              <w:rPr>
                <w:lang w:val="en-GB"/>
              </w:rPr>
              <w:t>Cash flow hedge</w:t>
            </w:r>
          </w:p>
          <w:p w:rsidR="00117709" w:rsidRPr="007C60CF" w:rsidP="00117709" w14:paraId="3D47F0F0" w14:textId="3623DE35">
            <w:pPr>
              <w:pStyle w:val="Bodytext2"/>
              <w:rPr>
                <w:color w:val="auto"/>
                <w:lang w:val="en-GB"/>
              </w:rPr>
            </w:pPr>
            <w:r w:rsidRPr="007C60CF">
              <w:rPr>
                <w:lang w:val="en-GB"/>
              </w:rPr>
              <w:t>Changes in the fair value of derivative contra</w:t>
            </w:r>
            <w:r w:rsidRPr="007C60CF">
              <w:rPr>
                <w:lang w:val="en-GB"/>
              </w:rPr>
              <w:t xml:space="preserve">cts designated </w:t>
            </w:r>
            <w:r w:rsidRPr="007C60CF" w:rsidR="00A44DD8">
              <w:rPr>
                <w:lang w:val="en-GB"/>
              </w:rPr>
              <w:t xml:space="preserve">and qualifying as </w:t>
            </w:r>
            <w:r w:rsidRPr="007C60CF">
              <w:rPr>
                <w:lang w:val="en-GB"/>
              </w:rPr>
              <w:t>cash flow</w:t>
            </w:r>
            <w:r w:rsidRPr="007C60CF" w:rsidR="00A44DD8">
              <w:rPr>
                <w:lang w:val="en-GB"/>
              </w:rPr>
              <w:t xml:space="preserve"> hedges</w:t>
            </w:r>
            <w:r w:rsidRPr="007C60CF">
              <w:rPr>
                <w:lang w:val="en-GB"/>
              </w:rPr>
              <w:t xml:space="preserve"> are recognised in other comprehensive income and presented in the fair value reserve in equity, provided that the hedging is effective. </w:t>
            </w:r>
            <w:r w:rsidRPr="007C60CF" w:rsidR="00A44DD8">
              <w:rPr>
                <w:color w:val="0F172B"/>
                <w:lang w:val="en-GB"/>
              </w:rPr>
              <w:t xml:space="preserve">In </w:t>
            </w:r>
            <w:r>
              <w:rPr>
                <w:color w:val="0F172B"/>
                <w:lang w:val="en-GB"/>
              </w:rPr>
              <w:t xml:space="preserve">the </w:t>
            </w:r>
            <w:r w:rsidRPr="007C60CF" w:rsidR="00A44DD8">
              <w:rPr>
                <w:color w:val="0F172B"/>
                <w:lang w:val="en-GB"/>
              </w:rPr>
              <w:t xml:space="preserve">case of foreign exchange forwards, the spot element is included for the hedging relationship where forward points have been excluded from the hedge designation. </w:t>
            </w:r>
            <w:r w:rsidRPr="007C60CF">
              <w:rPr>
                <w:lang w:val="en-GB"/>
              </w:rPr>
              <w:t>Any gain or loss in the fair value reserve related to derivatives accumulated through other comprehensive income is reported in the statement of income in the</w:t>
            </w:r>
            <w:r w:rsidRPr="007C60CF">
              <w:rPr>
                <w:lang w:val="en-GB"/>
              </w:rPr>
              <w:t xml:space="preserve"> same period as any transactions relating to the hedged obligations or estimates,</w:t>
            </w:r>
            <w:r w:rsidRPr="007C60CF" w:rsidR="00A44DD8">
              <w:rPr>
                <w:lang w:val="en-GB"/>
              </w:rPr>
              <w:t xml:space="preserve"> for example</w:t>
            </w:r>
            <w:r>
              <w:rPr>
                <w:lang w:val="en-GB"/>
              </w:rPr>
              <w:t>,</w:t>
            </w:r>
            <w:r w:rsidRPr="007C60CF">
              <w:rPr>
                <w:lang w:val="en-GB"/>
              </w:rPr>
              <w:t xml:space="preserve"> as an adjustment to net sales or material and services. The ineffective portion is immediately recognised in the financial items in the statement of income for t</w:t>
            </w:r>
            <w:r w:rsidRPr="007C60CF">
              <w:rPr>
                <w:lang w:val="en-GB"/>
              </w:rPr>
              <w:t xml:space="preserve">he </w:t>
            </w:r>
            <w:r>
              <w:rPr>
                <w:lang w:val="en-GB"/>
              </w:rPr>
              <w:t>reporting</w:t>
            </w:r>
            <w:r w:rsidRPr="007C60CF">
              <w:rPr>
                <w:lang w:val="en-GB"/>
              </w:rPr>
              <w:t xml:space="preserve"> period. Changes in fair value of foreign exchange derivatives due to interest rate differences are recognised in the statement of income.</w:t>
            </w:r>
          </w:p>
          <w:p w:rsidR="00117709" w:rsidRPr="007C60CF" w:rsidP="00117709" w14:paraId="0BF304A0" w14:textId="77777777">
            <w:pPr>
              <w:pStyle w:val="Bodytext2"/>
              <w:rPr>
                <w:color w:val="0F172B"/>
                <w:lang w:val="en-GB"/>
              </w:rPr>
            </w:pPr>
          </w:p>
          <w:p w:rsidR="00117709" w:rsidRPr="007C60CF" w:rsidP="00117709" w14:paraId="31AA5820" w14:textId="1D28F9B0">
            <w:pPr>
              <w:pStyle w:val="Bodytext2"/>
              <w:rPr>
                <w:color w:val="0F172B"/>
                <w:lang w:val="en-GB"/>
              </w:rPr>
            </w:pPr>
            <w:r w:rsidRPr="007C60CF">
              <w:rPr>
                <w:color w:val="0F172B"/>
                <w:lang w:val="en-GB"/>
              </w:rPr>
              <w:t>More information on fair value adjustments related to cash flow hedges is presented in Note 5.5. Equity,</w:t>
            </w:r>
            <w:r w:rsidRPr="007C60CF">
              <w:rPr>
                <w:color w:val="0F172B"/>
                <w:lang w:val="en-GB"/>
              </w:rPr>
              <w:t xml:space="preserve"> and more information on the ineffective portion of cash flow hedges is presented in Note </w:t>
            </w:r>
            <w:r w:rsidRPr="007C60CF" w:rsidR="00B0005B">
              <w:rPr>
                <w:color w:val="0F172B"/>
                <w:lang w:val="en-GB"/>
              </w:rPr>
              <w:t>5.1. Financial income and expenses.</w:t>
            </w:r>
          </w:p>
        </w:tc>
      </w:tr>
    </w:tbl>
    <w:p w:rsidR="00117709" w:rsidRPr="007C60CF" w:rsidP="00117709" w14:paraId="77EAD957" w14:textId="77777777">
      <w:pPr>
        <w:pStyle w:val="Bodytext2"/>
        <w:rPr>
          <w:color w:val="0F172B"/>
        </w:rPr>
      </w:pPr>
    </w:p>
    <w:p w:rsidR="00117709" w:rsidP="00117709" w14:paraId="07A0D85E" w14:textId="76B2E170">
      <w:pPr>
        <w:pStyle w:val="Bodytext2"/>
        <w:rPr>
          <w:color w:val="0F172B"/>
        </w:rPr>
      </w:pPr>
      <w:bookmarkStart w:id="1489" w:name="_Hlk49249124"/>
      <w:r w:rsidRPr="007C60CF">
        <w:rPr>
          <w:color w:val="0F172B"/>
        </w:rPr>
        <w:t xml:space="preserve">The Group applies hedge accounting to </w:t>
      </w:r>
      <w:r>
        <w:rPr>
          <w:color w:val="0F172B"/>
        </w:rPr>
        <w:t xml:space="preserve">the </w:t>
      </w:r>
      <w:r w:rsidRPr="007C60CF">
        <w:rPr>
          <w:color w:val="0F172B"/>
        </w:rPr>
        <w:t>majority of</w:t>
      </w:r>
      <w:r w:rsidRPr="007C60CF">
        <w:rPr>
          <w:color w:val="0F172B"/>
        </w:rPr>
        <w:t xml:space="preserve"> its foreign currency forward contracts.</w:t>
      </w:r>
    </w:p>
    <w:p w:rsidR="00117709" w:rsidP="00117709" w14:paraId="40994811" w14:textId="77777777">
      <w:pPr>
        <w:pStyle w:val="Bodytext2"/>
        <w:rPr>
          <w:color w:val="0F172B"/>
        </w:rPr>
      </w:pPr>
    </w:p>
    <w:p w:rsidR="00117709" w:rsidP="00117709" w14:paraId="536E9DAD" w14:textId="77777777">
      <w:pPr>
        <w:pStyle w:val="Bodytext2"/>
        <w:rPr>
          <w:color w:val="0F172B"/>
        </w:rPr>
      </w:pPr>
      <w:r>
        <w:rPr>
          <w:color w:val="0F172B"/>
        </w:rPr>
        <w:t>The open operative currency positions including financing are hedged by using derivative financial instruments according to the table below.</w:t>
      </w:r>
    </w:p>
    <w:p w:rsidR="00117709" w:rsidP="00117709" w14:paraId="55A3C618" w14:textId="77777777">
      <w:pPr>
        <w:pStyle w:val="Bodytext2"/>
        <w:rPr>
          <w:color w:val="0F172B"/>
        </w:rPr>
      </w:pPr>
    </w:p>
    <w:p w:rsidR="00117709" w:rsidP="00117709" w14:paraId="06F3752B" w14:textId="77777777">
      <w:pPr>
        <w:pStyle w:val="Heading13"/>
        <w:rPr>
          <w:color w:val="auto"/>
        </w:rPr>
      </w:pPr>
      <w:r>
        <w:t>Foreign exchange forwards</w:t>
      </w:r>
    </w:p>
    <w:p w:rsidR="00117709" w:rsidP="00117709" w14:paraId="44E29C0E" w14:textId="77777777">
      <w:pPr>
        <w:pStyle w:val="Bodytext2"/>
      </w:pPr>
    </w:p>
    <w:tbl>
      <w:tblPr>
        <w:tblStyle w:val="TableNormal"/>
        <w:tblCaption w:val="table_58_currency_forwards"/>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hRule="exact" w:val="240"/>
        </w:trPr>
        <w:tc>
          <w:tcPr>
            <w:tcW w:w="213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87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Net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against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fixed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sales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and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purchase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contracts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Against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loans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Net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against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fixed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sales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and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purchase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contracts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Against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loans</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Currency forwards</w:t>
            </w: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USD</w:t>
            </w:r>
          </w:p>
        </w:tc>
        <w:tc>
          <w:tcPr>
            <w:tcW w:w="87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837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NOK</w:t>
            </w:r>
          </w:p>
        </w:tc>
        <w:tc>
          <w:tcPr>
            <w:tcW w:w="87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GBP</w:t>
            </w:r>
          </w:p>
        </w:tc>
        <w:tc>
          <w:tcPr>
            <w:tcW w:w="87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32</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CHF</w:t>
            </w:r>
          </w:p>
        </w:tc>
        <w:tc>
          <w:tcPr>
            <w:tcW w:w="87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58</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CNY</w:t>
            </w:r>
          </w:p>
        </w:tc>
        <w:tc>
          <w:tcPr>
            <w:tcW w:w="87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AUD</w:t>
            </w:r>
          </w:p>
        </w:tc>
        <w:tc>
          <w:tcPr>
            <w:tcW w:w="87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48</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MXN</w:t>
            </w:r>
          </w:p>
        </w:tc>
        <w:tc>
          <w:tcPr>
            <w:tcW w:w="87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SGD</w:t>
            </w:r>
          </w:p>
        </w:tc>
        <w:tc>
          <w:tcPr>
            <w:tcW w:w="87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SEK</w:t>
            </w:r>
          </w:p>
        </w:tc>
        <w:tc>
          <w:tcPr>
            <w:tcW w:w="87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34</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CAD</w:t>
            </w:r>
          </w:p>
        </w:tc>
        <w:tc>
          <w:tcPr>
            <w:tcW w:w="87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currencies*</w:t>
            </w:r>
          </w:p>
        </w:tc>
        <w:tc>
          <w:tcPr>
            <w:tcW w:w="870" w:type="dxa"/>
            <w:tcBorders>
              <w:top w:val="single" w:sz="4" w:space="0" w:color="004A6B"/>
              <w:left w:val="nil"/>
              <w:bottom w:val="single" w:sz="8" w:space="0" w:color="0F172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89</w:t>
            </w: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120</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70" w:type="dxa"/>
            <w:gridSpan w:val="3"/>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net amount of currency derivatives</w:t>
            </w:r>
          </w:p>
        </w:tc>
        <w:tc>
          <w:tcPr>
            <w:tcW w:w="870"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1,642</w:t>
            </w:r>
          </w:p>
        </w:tc>
        <w:tc>
          <w:tcPr>
            <w:tcW w:w="870"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214</w:t>
            </w:r>
          </w:p>
        </w:tc>
        <w:tc>
          <w:tcPr>
            <w:tcW w:w="87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936</w:t>
            </w:r>
          </w:p>
        </w:tc>
        <w:tc>
          <w:tcPr>
            <w:tcW w:w="87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437</w:t>
            </w:r>
          </w:p>
        </w:tc>
      </w:tr>
    </w:tbl>
    <w:p w:rsidR="00117709" w:rsidP="00117709" w14:paraId="7134FE27" w14:textId="77777777">
      <w:pPr>
        <w:pStyle w:val="Bodytext2"/>
      </w:pPr>
    </w:p>
    <w:p w:rsidR="00117709" w:rsidP="00117709" w14:paraId="190706EC" w14:textId="3B90FFE6">
      <w:pPr>
        <w:pStyle w:val="Bodytext2"/>
      </w:pPr>
      <w:r>
        <w:t xml:space="preserve">* Other </w:t>
      </w:r>
      <w:r>
        <w:t>currencies do not include any material single currencies.</w:t>
      </w:r>
    </w:p>
    <w:p w:rsidR="00117709" w:rsidP="00117709" w14:paraId="3DA13CD0" w14:textId="77777777">
      <w:pPr>
        <w:pStyle w:val="Bodytext2"/>
      </w:pPr>
    </w:p>
    <w:p w:rsidR="00117709" w:rsidP="00117709" w14:paraId="6DA6D06D" w14:textId="77777777">
      <w:pPr>
        <w:pStyle w:val="Bodytext2"/>
      </w:pPr>
      <w:r>
        <w:t>Net loans include non-euro intragroup loans and deposits given by the parent company.</w:t>
      </w:r>
    </w:p>
    <w:p w:rsidR="00117709" w:rsidP="00117709" w14:paraId="3396CFC6" w14:textId="77777777">
      <w:pPr>
        <w:pStyle w:val="Bodytext2"/>
      </w:pPr>
    </w:p>
    <w:p w:rsidR="00117709" w:rsidP="00117709" w14:paraId="3BADA13E" w14:textId="572F29C6">
      <w:pPr>
        <w:pStyle w:val="Bodytext2"/>
      </w:pPr>
      <w:r>
        <w:t>IFRS hedge accounting has been applied to EUR 2,402</w:t>
      </w:r>
      <w:r>
        <w:t xml:space="preserve"> million (1,861) currency forwards. A 5% change in the exch</w:t>
      </w:r>
      <w:r>
        <w:t xml:space="preserve">ange rates would cause from these currency forwards an </w:t>
      </w:r>
      <w:r w:rsidRPr="00EE0BCF">
        <w:t>approximately EUR 1</w:t>
      </w:r>
      <w:r>
        <w:t>52</w:t>
      </w:r>
      <w:r w:rsidRPr="00EE0BCF">
        <w:t xml:space="preserve"> million</w:t>
      </w:r>
      <w:r>
        <w:t xml:space="preserve"> (45) impact on the equity. As all material fixed sales and purchase contracts are hedged, the profit and loss sensitivity of foreign exchange from operations (excluding in</w:t>
      </w:r>
      <w:r>
        <w:t>ternal financing) is considered minimal.</w:t>
      </w:r>
    </w:p>
    <w:p w:rsidR="00117709" w:rsidP="00117709" w14:paraId="0F0F97DA" w14:textId="77777777">
      <w:pPr>
        <w:pStyle w:val="Bodytext2"/>
      </w:pPr>
    </w:p>
    <w:tbl>
      <w:tblPr>
        <w:tblStyle w:val="TableNormal"/>
        <w:tblCaption w:val="table_58_legs"/>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87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Gross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amount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amount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Equity</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impact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Gross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amount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amount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Equity</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impact</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Both legs of currency forwards under hedge accounting*</w:t>
            </w:r>
          </w:p>
        </w:tc>
        <w:tc>
          <w:tcPr>
            <w:tcW w:w="870"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1,834</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1,130</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56</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1,424</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123</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USD</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1,405</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1,005</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1,077</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295</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NOK</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931</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384</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803</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248</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GBP</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133</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131</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79</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57</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MXN</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102</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128</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46</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CNY</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48</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47</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50</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JPY</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CHF</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59</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53</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currencies</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268</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234</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116</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81</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(single leg)</w:t>
            </w:r>
          </w:p>
        </w:tc>
        <w:tc>
          <w:tcPr>
            <w:tcW w:w="870" w:type="dxa"/>
            <w:tcBorders>
              <w:top w:val="single" w:sz="8" w:space="0" w:color="0F172B"/>
              <w:left w:val="nil"/>
              <w:bottom w:val="single" w:sz="8" w:space="0" w:color="0F172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2,402</w:t>
            </w:r>
          </w:p>
        </w:tc>
        <w:tc>
          <w:tcPr>
            <w:tcW w:w="870" w:type="dxa"/>
            <w:tcBorders>
              <w:top w:val="single" w:sz="8" w:space="0" w:color="0F172B"/>
              <w:left w:val="nil"/>
              <w:bottom w:val="single" w:sz="8" w:space="0" w:color="0F172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1,523</w:t>
            </w:r>
          </w:p>
        </w:tc>
        <w:tc>
          <w:tcPr>
            <w:tcW w:w="870" w:type="dxa"/>
            <w:tcBorders>
              <w:top w:val="single" w:sz="8" w:space="0" w:color="0F172B"/>
              <w:left w:val="nil"/>
              <w:bottom w:val="single" w:sz="8" w:space="0" w:color="0F172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152</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1,861</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900</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w:t>
            </w:r>
          </w:p>
        </w:tc>
      </w:tr>
    </w:tbl>
    <w:p w:rsidR="00117709" w:rsidP="00117709" w14:paraId="33B05FC8" w14:textId="77777777">
      <w:pPr>
        <w:pStyle w:val="Bodytext2"/>
      </w:pPr>
    </w:p>
    <w:p w:rsidR="00117709" w:rsidP="00117709" w14:paraId="105740AB" w14:textId="77777777">
      <w:pPr>
        <w:pStyle w:val="Bodytext2"/>
      </w:pPr>
      <w:r>
        <w:t>* Intragroup transactions, on which the actual hedge accounting bookings are based.</w:t>
      </w:r>
    </w:p>
    <w:p w:rsidR="00117709" w:rsidRPr="000D5468" w:rsidP="00117709" w14:paraId="7E589EC2" w14:textId="1F1B91E0">
      <w:pPr>
        <w:pStyle w:val="Bodytext2"/>
        <w:rPr>
          <w:sz w:val="2"/>
          <w:szCs w:val="2"/>
        </w:rPr>
      </w:pPr>
      <w:r>
        <w:br w:type="column"/>
      </w:r>
    </w:p>
    <w:tbl>
      <w:tblPr>
        <w:tblStyle w:val="TableNormal"/>
        <w:tblCaption w:val="table_58_hedged"/>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610" w:type="dxa"/>
            <w:gridSpan w:val="5"/>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External currency forwards under hedge accounting by year</w:t>
            </w: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2021</w:t>
            </w: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1,010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2022</w:t>
            </w: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1,417</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610" w:type="dxa"/>
            <w:gridSpan w:val="5"/>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Hedged highly probable forecasted cash flows by year</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2021</w:t>
            </w: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1,341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2022</w:t>
            </w: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1,925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2023</w:t>
            </w: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2024</w:t>
            </w: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2025</w:t>
            </w: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44</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2026</w:t>
            </w:r>
            <w:r>
              <w:rPr>
                <w:rFonts w:ascii="Calibri" w:eastAsia="Calibri" w:hAnsi="Calibri" w:cs="Calibri"/>
                <w:b w:val="0"/>
                <w:i w:val="0"/>
                <w:strike w:val="0"/>
                <w:color w:val="000000"/>
                <w:sz w:val="13"/>
                <w:u w:val="none"/>
                <w:vertAlign w:val="baseline"/>
              </w:rPr>
              <w:t>–</w:t>
            </w: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bl>
    <w:p w:rsidR="00D56CB4" w:rsidP="00D56CB4" w14:paraId="677F80DF" w14:textId="77777777">
      <w:pPr>
        <w:pStyle w:val="Bodytext2"/>
      </w:pPr>
    </w:p>
    <w:p w:rsidR="00D56CB4" w:rsidP="00D56CB4" w14:paraId="0E13527E" w14:textId="7EBFE152">
      <w:pPr>
        <w:pStyle w:val="Bodytext2"/>
      </w:pPr>
      <w:r w:rsidRPr="00D56CB4">
        <w:t>*</w:t>
      </w:r>
      <w:r>
        <w:t xml:space="preserve"> Includes 2025 and later for comparison period.</w:t>
      </w:r>
    </w:p>
    <w:p w:rsidR="00117709" w:rsidP="00117709" w14:paraId="397B06CA" w14:textId="77777777">
      <w:pPr>
        <w:pStyle w:val="Bodytext2"/>
        <w:rPr>
          <w:color w:val="0F172B"/>
        </w:rPr>
      </w:pPr>
    </w:p>
    <w:p w:rsidR="00117709" w:rsidP="00117709" w14:paraId="3FC033AC" w14:textId="77777777">
      <w:pPr>
        <w:pStyle w:val="Heading13"/>
      </w:pPr>
      <w:r>
        <w:t>Derivatives</w:t>
      </w:r>
    </w:p>
    <w:p w:rsidR="00117709" w:rsidP="00117709" w14:paraId="4B8B217B" w14:textId="77777777">
      <w:pPr>
        <w:pStyle w:val="Bodytext2"/>
        <w:rPr>
          <w:color w:val="0F172B"/>
        </w:rPr>
      </w:pPr>
    </w:p>
    <w:tbl>
      <w:tblPr>
        <w:tblStyle w:val="TableNormal"/>
        <w:tblCaption w:val="table_57_derivatives"/>
        <w:tblW w:w="7350" w:type="dxa"/>
        <w:tblLayout w:type="fixed"/>
        <w:tblLook w:val="0600"/>
      </w:tblPr>
      <w:tblGrid>
        <w:gridCol w:w="3030"/>
        <w:gridCol w:w="1080"/>
        <w:gridCol w:w="1080"/>
        <w:gridCol w:w="1080"/>
        <w:gridCol w:w="1080"/>
      </w:tblGrid>
      <w:tr>
        <w:tblPrEx>
          <w:tblW w:w="7350" w:type="dxa"/>
          <w:tblLayout w:type="fixed"/>
          <w:tblLook w:val="0600"/>
        </w:tblPrEx>
        <w:trPr>
          <w:trHeight w:val="240"/>
        </w:trPr>
        <w:tc>
          <w:tcPr>
            <w:tcW w:w="30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08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08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of which</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closed</w:t>
            </w:r>
          </w:p>
        </w:tc>
        <w:tc>
          <w:tcPr>
            <w:tcW w:w="108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c>
          <w:tcPr>
            <w:tcW w:w="108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of which</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closed</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Nominal values of derivative financial instruments (level 2)</w:t>
            </w: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rate swaps</w:t>
            </w: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408</w:t>
            </w: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450</w:t>
            </w: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Cross currency swaps</w:t>
            </w: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153</w:t>
            </w: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237</w:t>
            </w: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Currency forwards, included in hedge accounting</w:t>
            </w:r>
          </w:p>
        </w:tc>
        <w:tc>
          <w:tcPr>
            <w:tcW w:w="108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1,417</w:t>
            </w:r>
          </w:p>
        </w:tc>
        <w:tc>
          <w:tcPr>
            <w:tcW w:w="108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676</w:t>
            </w:r>
          </w:p>
        </w:tc>
        <w:tc>
          <w:tcPr>
            <w:tcW w:w="108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1,010</w:t>
            </w:r>
          </w:p>
        </w:tc>
        <w:tc>
          <w:tcPr>
            <w:tcW w:w="108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558</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Currency forwards, no hedge accounting</w:t>
            </w:r>
          </w:p>
        </w:tc>
        <w:tc>
          <w:tcPr>
            <w:tcW w:w="108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660</w:t>
            </w:r>
          </w:p>
        </w:tc>
        <w:tc>
          <w:tcPr>
            <w:tcW w:w="108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179</w:t>
            </w:r>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650</w:t>
            </w:r>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080"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2,639</w:t>
            </w:r>
          </w:p>
        </w:tc>
        <w:tc>
          <w:tcPr>
            <w:tcW w:w="1080"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855</w:t>
            </w:r>
          </w:p>
        </w:tc>
        <w:tc>
          <w:tcPr>
            <w:tcW w:w="108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2,347</w:t>
            </w:r>
          </w:p>
        </w:tc>
        <w:tc>
          <w:tcPr>
            <w:tcW w:w="108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803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Fair values of derivative financial instruments (level 2)</w:t>
            </w: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rate swaps</w:t>
            </w: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Cross currency swaps</w:t>
            </w: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Currency forwards, included in hedge accounting</w:t>
            </w:r>
          </w:p>
        </w:tc>
        <w:tc>
          <w:tcPr>
            <w:tcW w:w="108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080"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w:t>
            </w:r>
          </w:p>
        </w:tc>
        <w:tc>
          <w:tcPr>
            <w:tcW w:w="1080"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Currency forwards, no hedge accounting</w:t>
            </w:r>
          </w:p>
        </w:tc>
        <w:tc>
          <w:tcPr>
            <w:tcW w:w="108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08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080"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080" w:type="dxa"/>
            <w:tcBorders>
              <w:top w:val="nil"/>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c>
          <w:tcPr>
            <w:tcW w:w="1080"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bl>
    <w:p w:rsidR="00117709" w:rsidP="00117709" w14:paraId="3E977092" w14:textId="77777777">
      <w:pPr>
        <w:pStyle w:val="Bodytext2"/>
        <w:rPr>
          <w:color w:val="0F172B"/>
        </w:rPr>
      </w:pPr>
    </w:p>
    <w:p w:rsidR="00117709" w:rsidRPr="00A054E2" w:rsidP="00A054E2" w14:paraId="52C66868" w14:textId="330A7BDC">
      <w:pPr>
        <w:pStyle w:val="Bodytext2"/>
      </w:pPr>
      <w:r w:rsidRPr="00A054E2">
        <w:t xml:space="preserve">In addition, the Group had copper futures and swaps amounting to </w:t>
      </w:r>
      <w:r>
        <w:t>933</w:t>
      </w:r>
      <w:r w:rsidRPr="00A054E2">
        <w:t xml:space="preserve"> tons (1</w:t>
      </w:r>
      <w:r>
        <w:t>1</w:t>
      </w:r>
      <w:r w:rsidRPr="00A054E2">
        <w:t xml:space="preserve">3) valued at EUR </w:t>
      </w:r>
      <w:r>
        <w:t>8</w:t>
      </w:r>
      <w:r w:rsidRPr="00A054E2">
        <w:t xml:space="preserve"> million</w:t>
      </w:r>
      <w:r>
        <w:t xml:space="preserve"> (1).</w:t>
      </w:r>
    </w:p>
    <w:p w:rsidR="00BF3E3E" w:rsidRPr="00A054E2" w:rsidP="00A054E2" w14:paraId="746C5CC8" w14:textId="7C30635B">
      <w:pPr>
        <w:pStyle w:val="Bodytext2"/>
      </w:pPr>
    </w:p>
    <w:p w:rsidR="00117709" w:rsidRPr="00A054E2" w:rsidP="00A054E2" w14:paraId="3C51EE25" w14:textId="23BA4D0C">
      <w:pPr>
        <w:pStyle w:val="Bodytext2"/>
      </w:pPr>
      <w:r w:rsidRPr="00A054E2">
        <w:t>Foreign currency forward contracts are against transactio</w:t>
      </w:r>
      <w:r w:rsidRPr="00A054E2">
        <w:t xml:space="preserve">nal risks and fall due during the following </w:t>
      </w:r>
      <w:r w:rsidRPr="00261354">
        <w:t>12</w:t>
      </w:r>
      <w:r w:rsidRPr="00A054E2">
        <w:t xml:space="preserve"> months (12). A currency forward is considered closed when there are offsetting cash flows in the same currency with the same value date. Interest rate swaps are denominated in euros and their average maturity </w:t>
      </w:r>
      <w:r w:rsidRPr="00A054E2">
        <w:t xml:space="preserve">is </w:t>
      </w:r>
      <w:r w:rsidRPr="00261354">
        <w:t>5</w:t>
      </w:r>
      <w:r>
        <w:t>2</w:t>
      </w:r>
      <w:r w:rsidRPr="00A054E2">
        <w:t xml:space="preserve"> months (</w:t>
      </w:r>
      <w:r>
        <w:t>5</w:t>
      </w:r>
      <w:r w:rsidRPr="00A054E2">
        <w:t xml:space="preserve">9). The average maturity for cross currency swaps is </w:t>
      </w:r>
      <w:r w:rsidRPr="00261354">
        <w:t>31</w:t>
      </w:r>
      <w:r w:rsidRPr="00A054E2">
        <w:t xml:space="preserve"> months (</w:t>
      </w:r>
      <w:r>
        <w:t>30</w:t>
      </w:r>
      <w:r w:rsidRPr="00A054E2">
        <w:t>).</w:t>
      </w:r>
    </w:p>
    <w:p w:rsidR="004A5500" w:rsidP="00117709" w14:paraId="05D58F59" w14:textId="6CE8F384">
      <w:pPr>
        <w:pStyle w:val="Bodytext2"/>
        <w:rPr>
          <w:color w:val="0F172B"/>
        </w:rPr>
      </w:pPr>
    </w:p>
    <w:p w:rsidR="004A5500" w:rsidP="004A5500" w14:paraId="0185C009" w14:textId="26263EFC">
      <w:pPr>
        <w:pStyle w:val="Bodytext2"/>
      </w:pPr>
      <w:r w:rsidRPr="007C60CF">
        <w:t>Changes in the market value of interest rate derivatives are usually immediately recognised in the statement of income. However, cash flow hedge accounting in accordance w</w:t>
      </w:r>
      <w:r w:rsidRPr="007C60CF">
        <w:t>ith IFRS 9 is applied to a EU</w:t>
      </w:r>
      <w:r w:rsidRPr="00EE0BCF">
        <w:t>R 128</w:t>
      </w:r>
      <w:r w:rsidRPr="007C60CF">
        <w:t xml:space="preserve"> million (130) amortising interest rate swap maturing in 2031. The interest rate hedge swaps variable interest payments of a large lease agreement</w:t>
      </w:r>
      <w:r>
        <w:t>,</w:t>
      </w:r>
      <w:r w:rsidRPr="007C60CF">
        <w:t xml:space="preserve"> to fixed</w:t>
      </w:r>
      <w:r>
        <w:t xml:space="preserve"> interest payments</w:t>
      </w:r>
      <w:r w:rsidRPr="007C60CF">
        <w:t>. As the hedge and the underlying cash flow have</w:t>
      </w:r>
      <w:r w:rsidRPr="007C60CF">
        <w:t xml:space="preserve"> matching critical terms, the hedge ratio is 1:1 and the hedge is expected to be 100% effective. In 202</w:t>
      </w:r>
      <w:r>
        <w:t>1</w:t>
      </w:r>
      <w:r w:rsidRPr="007C60CF">
        <w:t xml:space="preserve">, </w:t>
      </w:r>
      <w:r>
        <w:t xml:space="preserve">a </w:t>
      </w:r>
      <w:r w:rsidRPr="00EE0BCF">
        <w:t>EUR -2</w:t>
      </w:r>
      <w:r w:rsidRPr="007C60CF">
        <w:t xml:space="preserve"> million (</w:t>
      </w:r>
      <w:r>
        <w:t>-6</w:t>
      </w:r>
      <w:r w:rsidRPr="007C60CF">
        <w:t>) fair value adjustment related to cash flow hedge was recognised in equity</w:t>
      </w:r>
      <w:r>
        <w:t>,</w:t>
      </w:r>
      <w:r w:rsidRPr="007C60CF">
        <w:t xml:space="preserve"> and no amounts have been reclassified to profit and l</w:t>
      </w:r>
      <w:r w:rsidRPr="007C60CF">
        <w:t>oss.</w:t>
      </w:r>
    </w:p>
    <w:p w:rsidR="00117709" w:rsidP="00117709" w14:paraId="2E29C34E" w14:textId="77777777">
      <w:pPr>
        <w:pStyle w:val="Bodytext2"/>
        <w:rPr>
          <w:color w:val="0F172B"/>
        </w:rPr>
      </w:pPr>
    </w:p>
    <w:p w:rsidR="00117709" w:rsidRPr="00627F56" w:rsidP="00627F56" w14:paraId="13365437" w14:textId="1A86431D">
      <w:pPr>
        <w:pStyle w:val="Bodytext2"/>
      </w:pPr>
      <w:r w:rsidRPr="00627F56">
        <w:t xml:space="preserve">Normally all of the Groups' derivatives are carried out according to International Swaps and Derivatives Association's Master Agreements (ISDA). In case of an event of default under these agreements, the non-defaulting party may request early </w:t>
      </w:r>
      <w:r w:rsidRPr="00627F56">
        <w:t>termination and set-off of all outstanding transactions. These agreements do not meet the criteria for offsetting in the statement of financial position. The following table sets out the carrying amounts of recognised financial instruments that are subject</w:t>
      </w:r>
      <w:r w:rsidRPr="00627F56">
        <w:t xml:space="preserve"> to the above agreements.</w:t>
      </w:r>
    </w:p>
    <w:p w:rsidR="00117709" w:rsidP="00117709" w14:paraId="26498365" w14:textId="77777777">
      <w:pPr>
        <w:pStyle w:val="Bodytext2"/>
        <w:rPr>
          <w:color w:val="0F172B"/>
        </w:rPr>
      </w:pPr>
    </w:p>
    <w:tbl>
      <w:tblPr>
        <w:tblStyle w:val="TableNormal"/>
        <w:tblCaption w:val="table_57_isda"/>
        <w:tblW w:w="7350" w:type="dxa"/>
        <w:tblLayout w:type="fixed"/>
        <w:tblLook w:val="0600"/>
      </w:tblPr>
      <w:tblGrid>
        <w:gridCol w:w="3030"/>
        <w:gridCol w:w="1080"/>
        <w:gridCol w:w="1080"/>
        <w:gridCol w:w="1080"/>
        <w:gridCol w:w="1080"/>
      </w:tblGrid>
      <w:tr>
        <w:tblPrEx>
          <w:tblW w:w="7350" w:type="dxa"/>
          <w:tblLayout w:type="fixed"/>
          <w:tblLook w:val="0600"/>
        </w:tblPrEx>
        <w:trPr>
          <w:trHeight w:val="240"/>
        </w:trPr>
        <w:tc>
          <w:tcPr>
            <w:tcW w:w="30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08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08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190" w:type="dxa"/>
            <w:gridSpan w:val="3"/>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Gross fair values of derivative financial instruments subject to ISDAs</w:t>
            </w: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Assets</w:t>
            </w: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Cross currency swaps</w:t>
            </w:r>
          </w:p>
        </w:tc>
        <w:tc>
          <w:tcPr>
            <w:tcW w:w="1080"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Currency forwards</w:t>
            </w: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080"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w:t>
            </w:r>
          </w:p>
        </w:tc>
        <w:tc>
          <w:tcPr>
            <w:tcW w:w="108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Liabilities</w:t>
            </w: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rate swaps</w:t>
            </w: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Cross currency swaps</w:t>
            </w: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Currency forwards</w:t>
            </w: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108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190" w:type="dxa"/>
            <w:gridSpan w:val="3"/>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 fair values of derivative financial instruments subject to ISDAs</w:t>
            </w: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Assets</w:t>
            </w: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Liabilities</w:t>
            </w: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08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r>
    </w:tbl>
    <w:p w:rsidR="00117709" w:rsidRPr="00117709" w:rsidP="00117709" w14:paraId="7D8D37AF" w14:textId="228EA0B9">
      <w:pPr>
        <w:pStyle w:val="Bodytext2"/>
      </w:pPr>
      <w:bookmarkEnd w:id="1489"/>
      <w:r>
        <w:t xml:space="preserve"> </w:t>
      </w:r>
    </w:p>
    <w:p/>
    <w:p w:rsidR="000F07C1" w:rsidRPr="0039314B" w:rsidP="000F07C1" w14:paraId="5A98EECA" w14:textId="77777777">
      <w:pPr>
        <w:pStyle w:val="Heading12"/>
      </w:pPr>
      <w:bookmarkStart w:id="1490" w:name="RG_MARKER_7327"/>
      <w:r w:rsidRPr="0039314B">
        <w:t>5.8. FINANCIAL RISKS</w:t>
      </w:r>
      <w:bookmarkEnd w:id="1490"/>
    </w:p>
    <w:p w:rsidR="000F07C1" w:rsidRPr="0039314B" w:rsidP="000F07C1" w14:paraId="380DA615" w14:textId="77777777">
      <w:pPr>
        <w:spacing w:before="48" w:after="0"/>
        <w:rPr>
          <w:rFonts w:ascii="Arial" w:hAnsi="Arial" w:cs="Arial"/>
          <w:b/>
          <w:bCs/>
          <w:sz w:val="17"/>
          <w:szCs w:val="17"/>
          <w:lang w:val="en-GB"/>
        </w:rPr>
      </w:pPr>
    </w:p>
    <w:p w:rsidR="000F07C1" w:rsidRPr="0039314B" w:rsidP="000F07C1" w14:paraId="7EA94047" w14:textId="77777777">
      <w:pPr>
        <w:pStyle w:val="Heading13"/>
      </w:pPr>
      <w:r w:rsidRPr="0039314B">
        <w:t>General</w:t>
      </w:r>
    </w:p>
    <w:p w:rsidR="000F07C1" w:rsidRPr="0039314B" w:rsidP="000F07C1" w14:paraId="3E13DD07" w14:textId="77777777">
      <w:pPr>
        <w:pStyle w:val="Bodytext2"/>
      </w:pPr>
      <w:r w:rsidRPr="0039314B">
        <w:t>Wärtsilä has a centralised</w:t>
      </w:r>
      <w:r w:rsidRPr="0039314B">
        <w:t xml:space="preserve"> Group Treasury, which has two main objectives: 1) to arrange adequate funding for the Group’s underlying operations on competitive terms and 2) to identify and evaluate the financial risks within the Group and implement the hedges for the Group companies.</w:t>
      </w:r>
    </w:p>
    <w:p w:rsidR="000F07C1" w:rsidRPr="0039314B" w:rsidP="000F07C1" w14:paraId="1B132B7D" w14:textId="77777777">
      <w:pPr>
        <w:pStyle w:val="Bodytext2"/>
      </w:pPr>
    </w:p>
    <w:p w:rsidR="000F07C1" w:rsidRPr="0039314B" w:rsidP="000F07C1" w14:paraId="49781B00" w14:textId="3D305F9C">
      <w:pPr>
        <w:pStyle w:val="Bodytext2"/>
      </w:pPr>
      <w:r w:rsidRPr="0039314B">
        <w:t>The objective is to hedge against unfavourable changes in the financial markets and to minimise the impact of foreign exchange, interest rate, credit, and liquidity risks on the Group’s cash reserves, profits</w:t>
      </w:r>
      <w:r w:rsidR="0039314B">
        <w:t>,</w:t>
      </w:r>
      <w:r w:rsidRPr="0039314B">
        <w:t xml:space="preserve"> and shareholder equity.</w:t>
      </w:r>
    </w:p>
    <w:p w:rsidR="000F07C1" w:rsidRPr="0039314B" w:rsidP="000F07C1" w14:paraId="1FB09882" w14:textId="77777777">
      <w:pPr>
        <w:pStyle w:val="Bodytext2"/>
      </w:pPr>
    </w:p>
    <w:p w:rsidR="000F07C1" w:rsidRPr="0039314B" w:rsidP="000F07C1" w14:paraId="54D76DF8" w14:textId="77777777">
      <w:pPr>
        <w:pStyle w:val="Bodytext2"/>
      </w:pPr>
      <w:r w:rsidRPr="0039314B">
        <w:t xml:space="preserve">The Financial Risk </w:t>
      </w:r>
      <w:r w:rsidRPr="0039314B">
        <w:t>Policy is approved by the Board of Directors. The Group Treasury employs only such instruments whose market value and risk profile it can reliably monitor.</w:t>
      </w:r>
    </w:p>
    <w:p w:rsidR="000F07C1" w:rsidRPr="0039314B" w:rsidP="000F07C1" w14:paraId="67A2AC84" w14:textId="77777777">
      <w:pPr>
        <w:pStyle w:val="Bodytext2"/>
      </w:pPr>
    </w:p>
    <w:p w:rsidR="000F07C1" w:rsidRPr="0039314B" w:rsidP="000F07C1" w14:paraId="66C13398" w14:textId="77777777">
      <w:pPr>
        <w:pStyle w:val="Heading13"/>
      </w:pPr>
      <w:r w:rsidRPr="0039314B">
        <w:t>Foreign exchange risk</w:t>
      </w:r>
    </w:p>
    <w:p w:rsidR="000F07C1" w:rsidRPr="0039314B" w:rsidP="000F07C1" w14:paraId="1CE540C9" w14:textId="539FFDBD">
      <w:pPr>
        <w:pStyle w:val="Bodytext2"/>
      </w:pPr>
      <w:r w:rsidRPr="0039314B">
        <w:t>Foreign exchange exposures are monitored at the Business level, hedged at com</w:t>
      </w:r>
      <w:r w:rsidRPr="0039314B">
        <w:t>pany level against the Group Treasury</w:t>
      </w:r>
      <w:r>
        <w:t>,</w:t>
      </w:r>
      <w:r w:rsidRPr="0039314B">
        <w:t xml:space="preserve"> and then netted and covered externally at Group level by the Group Treasury. All material fixed sales and purchase contracts, including both future cash flows and related accounts receivable and payable, are hedged. T</w:t>
      </w:r>
      <w:r w:rsidRPr="0039314B">
        <w:t xml:space="preserve">he estimated future commercial exposures are evaluated by the Businesses, and the level of hedging is decided by the Board of Management. Hedge accounting in accordance with IFRS 9 is applied to most of the hedges of these exposures. The hedges cover such </w:t>
      </w:r>
      <w:r w:rsidRPr="0039314B">
        <w:t>time periods that both the prices and costs can be adjusted to new exchange rates. These periods vary among Group companies from one month to two years. The Group also hedges its position of the statement of financial position, which includes cash balances</w:t>
      </w:r>
      <w:r w:rsidRPr="0039314B">
        <w:t>, loans/deposits</w:t>
      </w:r>
      <w:r w:rsidR="0039314B">
        <w:t>,</w:t>
      </w:r>
      <w:r w:rsidRPr="0039314B">
        <w:t xml:space="preserve"> as well as other receivables and payables denominated in foreign currencies.</w:t>
      </w:r>
    </w:p>
    <w:p w:rsidR="000F07C1" w:rsidRPr="0039314B" w:rsidP="000F07C1" w14:paraId="21F32E72" w14:textId="77777777">
      <w:pPr>
        <w:pStyle w:val="Bodytext2"/>
      </w:pPr>
    </w:p>
    <w:p w:rsidR="000105A5" w:rsidP="000F07C1" w14:paraId="404426CE" w14:textId="77777777">
      <w:pPr>
        <w:pStyle w:val="Bodytext2"/>
      </w:pPr>
      <w:r w:rsidRPr="0039314B">
        <w:t xml:space="preserve">As field service work is invoiced in local currencies, there is some foreign exchange change related volatility in the </w:t>
      </w:r>
      <w:r w:rsidRPr="0039314B" w:rsidR="00232FC5">
        <w:t>consolidated net sales</w:t>
      </w:r>
      <w:r w:rsidRPr="0039314B">
        <w:t>. However, the effe</w:t>
      </w:r>
      <w:r w:rsidRPr="0039314B">
        <w:t xml:space="preserve">ct </w:t>
      </w:r>
      <w:r w:rsidR="0039314B">
        <w:t>on</w:t>
      </w:r>
      <w:r w:rsidRPr="0039314B">
        <w:t xml:space="preserve"> the profitability is limited as the related costs are in the same currency. Spare part sales are based on </w:t>
      </w:r>
      <w:r w:rsidR="0039314B">
        <w:t xml:space="preserve">a </w:t>
      </w:r>
      <w:r w:rsidRPr="0039314B">
        <w:t xml:space="preserve">euro price list and related purchases in non-euro currencies are hedged, so </w:t>
      </w:r>
      <w:r w:rsidR="0039314B">
        <w:t xml:space="preserve">the </w:t>
      </w:r>
      <w:r w:rsidRPr="0039314B">
        <w:t xml:space="preserve">effect from foreign currency rate changes </w:t>
      </w:r>
      <w:r w:rsidR="0039314B">
        <w:t>on</w:t>
      </w:r>
      <w:r w:rsidRPr="0039314B">
        <w:t xml:space="preserve"> spare part sales </w:t>
      </w:r>
      <w:r w:rsidRPr="0039314B">
        <w:t>i</w:t>
      </w:r>
      <w:r w:rsidR="0039314B">
        <w:t>s</w:t>
      </w:r>
      <w:r w:rsidRPr="0039314B">
        <w:t xml:space="preserve"> minimal. As project/hardware sales/purchases</w:t>
      </w:r>
      <w:r w:rsidR="0039314B">
        <w:t>,</w:t>
      </w:r>
      <w:r w:rsidRPr="0039314B">
        <w:t xml:space="preserve"> as well as estimated currency exposures from long-term agreements</w:t>
      </w:r>
      <w:r w:rsidR="0039314B">
        <w:t>,</w:t>
      </w:r>
      <w:r w:rsidRPr="0039314B">
        <w:t xml:space="preserve"> are hedged, the Group does not expect significant gains/losses from foreign exchange rate changes in 202</w:t>
      </w:r>
      <w:r w:rsidR="006D2934">
        <w:t>2</w:t>
      </w:r>
      <w:r w:rsidRPr="0039314B">
        <w:t xml:space="preserve"> related to its operations</w:t>
      </w:r>
      <w:r w:rsidR="0039314B">
        <w:t>,</w:t>
      </w:r>
      <w:r w:rsidRPr="0039314B">
        <w:t xml:space="preserve"> excludi</w:t>
      </w:r>
      <w:r w:rsidRPr="0039314B">
        <w:t>ng internal financing.</w:t>
      </w:r>
    </w:p>
    <w:p w:rsidR="000105A5" w:rsidP="000F07C1" w14:paraId="13B81140" w14:textId="77777777">
      <w:pPr>
        <w:pStyle w:val="Bodytext2"/>
      </w:pPr>
    </w:p>
    <w:p w:rsidR="000F07C1" w:rsidRPr="0039314B" w:rsidP="000F07C1" w14:paraId="673DABB6" w14:textId="11917166">
      <w:pPr>
        <w:pStyle w:val="Bodytext2"/>
        <w:rPr>
          <w:color w:val="auto"/>
        </w:rPr>
      </w:pPr>
      <w:r w:rsidRPr="0039314B">
        <w:t>The instruments, and their nominal values, used to hedge the Group’s foreign exchange exposures are listed in Note 5.7. Derivative financial instruments.</w:t>
      </w:r>
    </w:p>
    <w:p w:rsidR="000F07C1" w:rsidRPr="0039314B" w:rsidP="000F07C1" w14:paraId="43F14E04" w14:textId="77777777">
      <w:pPr>
        <w:pStyle w:val="Bodytext2"/>
      </w:pPr>
    </w:p>
    <w:p w:rsidR="000F07C1" w:rsidRPr="0039314B" w:rsidP="000F07C1" w14:paraId="20CE0043" w14:textId="1349D18C">
      <w:pPr>
        <w:pStyle w:val="Bodytext2"/>
      </w:pPr>
      <w:r w:rsidRPr="0039314B">
        <w:t>Since Wärtsilä has subsidiaries and joint ventures outside the euro zone, the</w:t>
      </w:r>
      <w:r w:rsidRPr="0039314B">
        <w:t xml:space="preserve"> Group’s equity, goodwill and purchase price allocations are sensitive to exchange rate fluctuations. At the end of 202</w:t>
      </w:r>
      <w:r>
        <w:t>1</w:t>
      </w:r>
      <w:r w:rsidRPr="0039314B">
        <w:t xml:space="preserve">, the net assets of Wärtsilä’s foreign subsidiaries and joint ventures outside the euro zone totalled EUR </w:t>
      </w:r>
      <w:r>
        <w:t>963</w:t>
      </w:r>
      <w:r w:rsidRPr="0039314B">
        <w:t xml:space="preserve"> million (</w:t>
      </w:r>
      <w:r>
        <w:t>956</w:t>
      </w:r>
      <w:r w:rsidRPr="0039314B">
        <w:t>). In addition</w:t>
      </w:r>
      <w:r w:rsidRPr="0039314B">
        <w:t xml:space="preserve">, goodwill and purchase price allocations from acquisitions nominated in foreign currencies amounted </w:t>
      </w:r>
      <w:r w:rsidRPr="0039314B">
        <w:t xml:space="preserve">to EUR </w:t>
      </w:r>
      <w:r>
        <w:t>900</w:t>
      </w:r>
      <w:r w:rsidRPr="0039314B">
        <w:t xml:space="preserve"> million (</w:t>
      </w:r>
      <w:r>
        <w:t>865</w:t>
      </w:r>
      <w:r w:rsidRPr="0039314B">
        <w:t>). In 202</w:t>
      </w:r>
      <w:r>
        <w:t>1</w:t>
      </w:r>
      <w:r w:rsidRPr="0039314B">
        <w:t xml:space="preserve">, the translation differences recognised in other comprehensive income mainly come from changes in </w:t>
      </w:r>
      <w:r w:rsidR="0039314B">
        <w:t xml:space="preserve">the </w:t>
      </w:r>
      <w:r w:rsidRPr="0039314B">
        <w:t>GBP exchange rate.</w:t>
      </w:r>
    </w:p>
    <w:p w:rsidR="00232FC5" w:rsidRPr="0039314B" w:rsidP="000F07C1" w14:paraId="5E3FEC49" w14:textId="77777777">
      <w:pPr>
        <w:pStyle w:val="Bodytext2"/>
      </w:pPr>
    </w:p>
    <w:p w:rsidR="000F07C1" w:rsidP="000F07C1" w14:paraId="2E0660E3" w14:textId="425BFCE5">
      <w:pPr>
        <w:pStyle w:val="Bodytext2"/>
      </w:pPr>
      <w:r w:rsidRPr="0039314B">
        <w:t xml:space="preserve">Approximately </w:t>
      </w:r>
      <w:r>
        <w:t>6</w:t>
      </w:r>
      <w:r w:rsidR="006D2934">
        <w:t>0</w:t>
      </w:r>
      <w:r w:rsidRPr="0039314B">
        <w:t>% (6</w:t>
      </w:r>
      <w:r w:rsidR="006D2934">
        <w:t>5</w:t>
      </w:r>
      <w:r w:rsidRPr="0039314B">
        <w:t xml:space="preserve">) of sales and </w:t>
      </w:r>
      <w:r w:rsidR="006D2934">
        <w:t>54</w:t>
      </w:r>
      <w:r w:rsidRPr="0039314B">
        <w:t>% (</w:t>
      </w:r>
      <w:r w:rsidR="006D2934">
        <w:t>61</w:t>
      </w:r>
      <w:r w:rsidRPr="0039314B">
        <w:t xml:space="preserve">) of operating costs were denominated in euros, and approximately </w:t>
      </w:r>
      <w:r w:rsidR="006D2934">
        <w:t>25</w:t>
      </w:r>
      <w:r w:rsidRPr="0039314B">
        <w:t xml:space="preserve">% (20) of sales and </w:t>
      </w:r>
      <w:r w:rsidR="006D2934">
        <w:t>18</w:t>
      </w:r>
      <w:r w:rsidRPr="0039314B">
        <w:t>% (1</w:t>
      </w:r>
      <w:r w:rsidR="006D2934">
        <w:t>1</w:t>
      </w:r>
      <w:r w:rsidRPr="0039314B">
        <w:t xml:space="preserve">) of operating costs were denominated in US dollars. The remainder were split between several currencies. The </w:t>
      </w:r>
      <w:r w:rsidRPr="0039314B">
        <w:t>Group’s profits and competitiveness are also indirectly affected by the home currencies</w:t>
      </w:r>
      <w:r w:rsidR="0039314B">
        <w:t xml:space="preserve"> (USD, GBP, JPY and KRW)</w:t>
      </w:r>
      <w:r w:rsidRPr="0039314B">
        <w:t xml:space="preserve"> of its main competitor</w:t>
      </w:r>
      <w:r w:rsidR="0039314B">
        <w:t>s.</w:t>
      </w:r>
    </w:p>
    <w:p w:rsidR="0039314B" w:rsidRPr="0039314B" w:rsidP="000F07C1" w14:paraId="7EE7C517" w14:textId="77777777">
      <w:pPr>
        <w:pStyle w:val="Bodytext2"/>
      </w:pPr>
    </w:p>
    <w:p w:rsidR="000F07C1" w:rsidRPr="0039314B" w:rsidP="000F07C1" w14:paraId="45BFB204" w14:textId="04604F55">
      <w:pPr>
        <w:pStyle w:val="Bodytext2"/>
      </w:pPr>
      <w:r w:rsidRPr="0039314B">
        <w:t xml:space="preserve">As </w:t>
      </w:r>
      <w:bookmarkStart w:id="1491" w:name="XBRL_CS_6107efb0853645c9937a92b6e72d8845"/>
      <w:r w:rsidRPr="0039314B">
        <w:t>Wärtsilä's operations are global</w:t>
      </w:r>
      <w:bookmarkStart w:id="1492" w:name="XBRL_CE_6107efb0853645c9937a92b6e72d8845"/>
      <w:bookmarkEnd w:id="1491"/>
      <w:bookmarkEnd w:id="1492"/>
      <w:r w:rsidRPr="0039314B">
        <w:t>, they often involve currency risks. The largest operative currency positions (excl</w:t>
      </w:r>
      <w:r w:rsidRPr="0039314B">
        <w:t>uding financing) open as of 31 December 202</w:t>
      </w:r>
      <w:r w:rsidR="006D2934">
        <w:t>1</w:t>
      </w:r>
      <w:r w:rsidRPr="0039314B">
        <w:t xml:space="preserve"> by currency pair are listed below.</w:t>
      </w:r>
    </w:p>
    <w:p w:rsidR="000F07C1" w:rsidRPr="0039314B" w:rsidP="000F07C1" w14:paraId="661D1D37" w14:textId="6C12FC01">
      <w:pPr>
        <w:pStyle w:val="Bodytext2"/>
      </w:pPr>
    </w:p>
    <w:p w:rsidR="00ED6B56" w:rsidRPr="0039314B" w:rsidP="00ED6B56" w14:paraId="2F5A92DE" w14:textId="576E69FC">
      <w:pPr>
        <w:pStyle w:val="Heading13"/>
      </w:pPr>
      <w:r w:rsidRPr="0039314B">
        <w:t>202</w:t>
      </w:r>
      <w:r w:rsidR="006D2934">
        <w:t>1</w:t>
      </w:r>
    </w:p>
    <w:tbl>
      <w:tblPr>
        <w:tblStyle w:val="TableNormal"/>
        <w:tblCaption w:val="table_58_currency_positions"/>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740" w:type="dxa"/>
            <w:gridSpan w:val="2"/>
            <w:tcBorders>
              <w:top w:val="nil"/>
              <w:left w:val="nil"/>
              <w:bottom w:val="nil"/>
              <w:right w:val="nil"/>
              <w:tl2br w:val="nil"/>
              <w:tr2bl w:val="nil"/>
            </w:tcBorders>
            <w:shd w:val="clear" w:color="FFFFFF" w:fill="EFEFEF"/>
            <w:noWrap w:val="0"/>
            <w:tcMar>
              <w:left w:w="40" w:type="dxa"/>
              <w:right w:w="40" w:type="dxa"/>
            </w:tcMar>
            <w:textDirection w:val="lrTb"/>
            <w:tcFitText w:val="0"/>
            <w:vAlign w:val="top"/>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Statement of financial position</w:t>
            </w:r>
          </w:p>
        </w:tc>
        <w:tc>
          <w:tcPr>
            <w:tcW w:w="1740" w:type="dxa"/>
            <w:gridSpan w:val="2"/>
            <w:tcBorders>
              <w:top w:val="nil"/>
              <w:left w:val="nil"/>
              <w:bottom w:val="nil"/>
              <w:right w:val="nil"/>
              <w:tl2br w:val="nil"/>
              <w:tr2bl w:val="nil"/>
            </w:tcBorders>
            <w:shd w:val="clear" w:color="FFFFFF" w:fill="EFEFEF"/>
            <w:noWrap w:val="0"/>
            <w:tcMar>
              <w:left w:w="40" w:type="dxa"/>
              <w:right w:w="40" w:type="dxa"/>
            </w:tcMar>
            <w:textDirection w:val="lrTb"/>
            <w:tcFitText w:val="0"/>
            <w:vAlign w:val="top"/>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Estimated cash flows</w:t>
            </w:r>
          </w:p>
        </w:tc>
        <w:tc>
          <w:tcPr>
            <w:tcW w:w="87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Base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currency</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received</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Base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currency</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paid</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Base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currency</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received</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Base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currency</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paid</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EUR/USD</w:t>
            </w: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71</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196</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154</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934</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905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USD/NOK</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400</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429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EUR/NOK</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94</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48</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198</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EUR/CNY</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EUR/GBP</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88</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EUR/AUD</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EUR/SGD</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32</w:t>
            </w:r>
          </w:p>
        </w:tc>
      </w:tr>
    </w:tbl>
    <w:p w:rsidR="000105A5" w:rsidP="000105A5" w14:paraId="798BC66F" w14:textId="77777777">
      <w:pPr>
        <w:pStyle w:val="Bodytext2"/>
      </w:pPr>
    </w:p>
    <w:p w:rsidR="00ED6B56" w:rsidRPr="0039314B" w:rsidP="000105A5" w14:paraId="2DAE2333" w14:textId="69519346">
      <w:pPr>
        <w:pStyle w:val="Heading13"/>
      </w:pPr>
      <w:r w:rsidRPr="0039314B">
        <w:t>20</w:t>
      </w:r>
      <w:r w:rsidR="006D2934">
        <w:t>20</w:t>
      </w:r>
    </w:p>
    <w:tbl>
      <w:tblPr>
        <w:tblStyle w:val="TableNormal"/>
        <w:tblCaption w:val="table_58_currency_positions_pre"/>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740" w:type="dxa"/>
            <w:gridSpan w:val="2"/>
            <w:tcBorders>
              <w:top w:val="nil"/>
              <w:left w:val="nil"/>
              <w:bottom w:val="nil"/>
              <w:right w:val="nil"/>
              <w:tl2br w:val="nil"/>
              <w:tr2bl w:val="nil"/>
            </w:tcBorders>
            <w:shd w:val="clear" w:color="FFFFFF" w:fill="EFEFEF"/>
            <w:noWrap w:val="0"/>
            <w:tcMar>
              <w:left w:w="40" w:type="dxa"/>
              <w:right w:w="40" w:type="dxa"/>
            </w:tcMar>
            <w:textDirection w:val="lrTb"/>
            <w:tcFitText w:val="0"/>
            <w:vAlign w:val="top"/>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Statement of financial position</w:t>
            </w:r>
          </w:p>
        </w:tc>
        <w:tc>
          <w:tcPr>
            <w:tcW w:w="1740" w:type="dxa"/>
            <w:gridSpan w:val="2"/>
            <w:tcBorders>
              <w:top w:val="nil"/>
              <w:left w:val="nil"/>
              <w:bottom w:val="nil"/>
              <w:right w:val="nil"/>
              <w:tl2br w:val="nil"/>
              <w:tr2bl w:val="nil"/>
            </w:tcBorders>
            <w:shd w:val="clear" w:color="FFFFFF" w:fill="EFEFEF"/>
            <w:noWrap w:val="0"/>
            <w:tcMar>
              <w:left w:w="40" w:type="dxa"/>
              <w:right w:w="40" w:type="dxa"/>
            </w:tcMar>
            <w:textDirection w:val="lrTb"/>
            <w:tcFitText w:val="0"/>
            <w:vAlign w:val="top"/>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Estimated cash flows</w:t>
            </w:r>
          </w:p>
        </w:tc>
        <w:tc>
          <w:tcPr>
            <w:tcW w:w="87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Base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currency</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received</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Base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currency</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paid</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Base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currency</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received</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Base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currency</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paid</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EUR/USD</w:t>
            </w: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53</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147</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303</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EUR/NOK</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310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USD/NOK</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EUR/CNY</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EUR/GBP</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89</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88</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EUR/SGD</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EUR/JPY</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r>
    </w:tbl>
    <w:p w:rsidR="000F07C1" w:rsidRPr="0039314B" w:rsidP="000F07C1" w14:paraId="64FF81DE" w14:textId="77777777">
      <w:pPr>
        <w:pStyle w:val="Bodytext2"/>
      </w:pPr>
    </w:p>
    <w:p w:rsidR="000F07C1" w:rsidRPr="0039314B" w:rsidP="000F07C1" w14:paraId="392615DD" w14:textId="42B01A19">
      <w:pPr>
        <w:pStyle w:val="Bodytext2"/>
      </w:pPr>
      <w:r w:rsidRPr="0039314B">
        <w:t xml:space="preserve">As the main funding currency for the Group, including the Group Treasury, is </w:t>
      </w:r>
      <w:r w:rsidR="0039314B">
        <w:t xml:space="preserve">the </w:t>
      </w:r>
      <w:r w:rsidRPr="0039314B">
        <w:t>euro and</w:t>
      </w:r>
      <w:r w:rsidR="0039314B">
        <w:t xml:space="preserve"> since</w:t>
      </w:r>
      <w:r w:rsidRPr="0039314B">
        <w:t xml:space="preserve"> the subsidiaries are normally funded in their home currencies by the Group Treasury, the Group Treasury had the following related open currency positions as of </w:t>
      </w:r>
      <w:r w:rsidRPr="0039314B">
        <w:t>31 December 202</w:t>
      </w:r>
      <w:r w:rsidR="006D2934">
        <w:t>1</w:t>
      </w:r>
      <w:r w:rsidRPr="0039314B">
        <w:t>.</w:t>
      </w:r>
    </w:p>
    <w:p w:rsidR="000F07C1" w:rsidRPr="0039314B" w:rsidP="000F07C1" w14:paraId="05218E90" w14:textId="77777777">
      <w:pPr>
        <w:pStyle w:val="Bodytext2"/>
      </w:pPr>
    </w:p>
    <w:tbl>
      <w:tblPr>
        <w:tblStyle w:val="TableNormal"/>
        <w:tblCaption w:val="table_58_open_currency_positions"/>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87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Loans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Deposits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Loans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Deposits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Intragroup loans/deposits</w:t>
            </w: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USD</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216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GBP</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68</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CHF</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53</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AUD</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NOK</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SGD</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CNY</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CAD</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currencies*</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center"/>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External loans/deposits</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JPY</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153**</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237**</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USD</w:t>
            </w: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443</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330</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366</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388</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455</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692</w:t>
            </w:r>
          </w:p>
        </w:tc>
      </w:tr>
    </w:tbl>
    <w:p w:rsidR="000F07C1" w:rsidRPr="0039314B" w:rsidP="000F07C1" w14:paraId="4D5A146A" w14:textId="77777777">
      <w:pPr>
        <w:pStyle w:val="Bodytext2"/>
      </w:pPr>
    </w:p>
    <w:p w:rsidR="000F07C1" w:rsidRPr="0039314B" w:rsidP="000F07C1" w14:paraId="13CE0CA3" w14:textId="77777777">
      <w:pPr>
        <w:pStyle w:val="Bodytext2"/>
      </w:pPr>
      <w:r w:rsidRPr="0039314B">
        <w:t>* The other currencies do not net as they are of different currencies.</w:t>
      </w:r>
    </w:p>
    <w:p w:rsidR="000F07C1" w:rsidRPr="0039314B" w:rsidP="000F07C1" w14:paraId="62C792CB" w14:textId="77777777">
      <w:pPr>
        <w:pStyle w:val="Bodytext2"/>
      </w:pPr>
      <w:r w:rsidRPr="0039314B">
        <w:t>** External JPY loans are fully hedged with cross currency swaps.</w:t>
      </w:r>
    </w:p>
    <w:p w:rsidR="000F07C1" w:rsidRPr="0039314B" w:rsidP="000F07C1" w14:paraId="1D575DD3" w14:textId="77777777">
      <w:pPr>
        <w:pStyle w:val="Bodytext2"/>
      </w:pPr>
    </w:p>
    <w:p w:rsidR="000F07C1" w:rsidRPr="0039314B" w:rsidP="000F07C1" w14:paraId="3BB72698" w14:textId="60928ADC">
      <w:pPr>
        <w:pStyle w:val="Bodytext2"/>
      </w:pPr>
      <w:r w:rsidRPr="0039314B">
        <w:t>Some Group companies in countries whose currencies are not f</w:t>
      </w:r>
      <w:r w:rsidRPr="0039314B">
        <w:t xml:space="preserve">ully convertible, </w:t>
      </w:r>
      <w:r w:rsidR="0039314B">
        <w:t>such as</w:t>
      </w:r>
      <w:r w:rsidRPr="0039314B">
        <w:t xml:space="preserve"> Argentina, Brazil, and Indonesia, have unhedged, intercompany loans nominated either in EUR or USD, which may result in some foreign exchange differences. The total amount of these loans is EUR </w:t>
      </w:r>
      <w:r w:rsidR="006D2934">
        <w:t>41</w:t>
      </w:r>
      <w:r w:rsidRPr="0039314B">
        <w:t xml:space="preserve"> million (</w:t>
      </w:r>
      <w:r w:rsidR="006D2934">
        <w:t>66</w:t>
      </w:r>
      <w:r w:rsidRPr="0039314B">
        <w:t>).</w:t>
      </w:r>
    </w:p>
    <w:p w:rsidR="00232FC5" w:rsidRPr="0039314B" w:rsidP="000F07C1" w14:paraId="41B9B6FD" w14:textId="0CADDFCE">
      <w:pPr>
        <w:pStyle w:val="Bodytext2"/>
      </w:pPr>
    </w:p>
    <w:p w:rsidR="00232FC5" w:rsidRPr="00AA6CDC" w:rsidP="00AA6CDC" w14:paraId="056F97CA" w14:textId="5D3983B1">
      <w:pPr>
        <w:pStyle w:val="Bodytext2"/>
      </w:pPr>
      <w:r w:rsidRPr="00AA6CDC">
        <w:t xml:space="preserve">Wärtsilä does not </w:t>
      </w:r>
      <w:r w:rsidRPr="00AA6CDC">
        <w:t xml:space="preserve">hedge translation risk. </w:t>
      </w:r>
      <w:r w:rsidRPr="00AA6CDC" w:rsidR="006025E7">
        <w:t>The most significant currencies</w:t>
      </w:r>
      <w:r w:rsidRPr="00AA6CDC" w:rsidR="00C06871">
        <w:t xml:space="preserve"> for Wärtsilä</w:t>
      </w:r>
      <w:r w:rsidRPr="00AA6CDC" w:rsidR="006025E7">
        <w:t xml:space="preserve"> are presented in Note 6.6. Exchange rates.</w:t>
      </w:r>
    </w:p>
    <w:p w:rsidR="000F07C1" w:rsidRPr="0039314B" w:rsidP="000F07C1" w14:paraId="7C505EDF" w14:textId="77777777">
      <w:pPr>
        <w:pStyle w:val="Bodytext2"/>
      </w:pPr>
    </w:p>
    <w:p w:rsidR="000F07C1" w:rsidRPr="0039314B" w:rsidP="000F07C1" w14:paraId="3254800E" w14:textId="77777777">
      <w:pPr>
        <w:pStyle w:val="Heading13"/>
      </w:pPr>
      <w:r w:rsidRPr="0039314B">
        <w:t>Interest rate risk</w:t>
      </w:r>
    </w:p>
    <w:p w:rsidR="000F07C1" w:rsidRPr="0039314B" w:rsidP="000F07C1" w14:paraId="6EC17A6A" w14:textId="3FA6D37F">
      <w:pPr>
        <w:pStyle w:val="Bodytext2"/>
      </w:pPr>
      <w:r w:rsidRPr="0039314B">
        <w:t>Wärtsilä is exposed to interest rate risk primarily through market value changes to the net debt portfolio (price risk)</w:t>
      </w:r>
      <w:r w:rsidR="0039314B">
        <w:t>, as well as</w:t>
      </w:r>
      <w:r w:rsidRPr="0039314B">
        <w:t xml:space="preserve"> through changes in interest rates (re-fixing on rollovers). Interest rate risk is managed by constantly monitoring the market value of the financial instruments and by using sensitivity analysis.</w:t>
      </w:r>
    </w:p>
    <w:p w:rsidR="000F07C1" w:rsidRPr="0039314B" w:rsidP="000F07C1" w14:paraId="0F8232D7" w14:textId="77777777">
      <w:pPr>
        <w:pStyle w:val="Bodytext2"/>
      </w:pPr>
    </w:p>
    <w:p w:rsidR="000F07C1" w:rsidRPr="0039314B" w:rsidP="000F07C1" w14:paraId="10E51F2D" w14:textId="355D5109">
      <w:pPr>
        <w:pStyle w:val="Bodytext2"/>
      </w:pPr>
      <w:r w:rsidRPr="0039314B">
        <w:t>Interest-bearing loan capital at the end of 202</w:t>
      </w:r>
      <w:r>
        <w:t>1</w:t>
      </w:r>
      <w:r w:rsidRPr="0039314B">
        <w:t xml:space="preserve"> to</w:t>
      </w:r>
      <w:r w:rsidRPr="0039314B">
        <w:t xml:space="preserve">talled EUR </w:t>
      </w:r>
      <w:r w:rsidR="006D2934">
        <w:t>776</w:t>
      </w:r>
      <w:r w:rsidRPr="0039314B">
        <w:t xml:space="preserve"> million (</w:t>
      </w:r>
      <w:r w:rsidR="006D2934">
        <w:t>1,161</w:t>
      </w:r>
      <w:r w:rsidRPr="0039314B">
        <w:t xml:space="preserve">). The average interest rate was </w:t>
      </w:r>
      <w:r>
        <w:t>0</w:t>
      </w:r>
      <w:r w:rsidRPr="0039314B">
        <w:t>.</w:t>
      </w:r>
      <w:r w:rsidR="006D2934">
        <w:t>6</w:t>
      </w:r>
      <w:r w:rsidRPr="0039314B">
        <w:t>% (0.</w:t>
      </w:r>
      <w:r w:rsidR="006D2934">
        <w:t>8</w:t>
      </w:r>
      <w:r w:rsidRPr="0039314B">
        <w:t xml:space="preserve">) and the average re-fixing time </w:t>
      </w:r>
      <w:r>
        <w:t>14</w:t>
      </w:r>
      <w:r w:rsidRPr="0039314B">
        <w:t xml:space="preserve"> months (</w:t>
      </w:r>
      <w:r w:rsidR="006D2934">
        <w:t>13</w:t>
      </w:r>
      <w:r w:rsidRPr="0039314B">
        <w:t>).</w:t>
      </w:r>
    </w:p>
    <w:p w:rsidR="000F07C1" w:rsidRPr="0039314B" w:rsidP="000F07C1" w14:paraId="40E9B63F" w14:textId="77777777">
      <w:pPr>
        <w:pStyle w:val="Bodytext2"/>
      </w:pPr>
    </w:p>
    <w:p w:rsidR="000F07C1" w:rsidRPr="0039314B" w:rsidP="000F07C1" w14:paraId="610171DE" w14:textId="40A10E13">
      <w:pPr>
        <w:pStyle w:val="Bodytext2"/>
      </w:pPr>
      <w:r w:rsidRPr="0039314B">
        <w:t xml:space="preserve">Wärtsilä spreads its interest rate risk exposure by taking both fixed and floating rate loans. The share of fixed rate loans as a </w:t>
      </w:r>
      <w:r w:rsidRPr="0039314B">
        <w:t>proportion of the total debt can vary between 30</w:t>
      </w:r>
      <w:r w:rsidR="0039314B">
        <w:t xml:space="preserve"> and </w:t>
      </w:r>
      <w:r w:rsidRPr="0039314B">
        <w:t>70%. The Board of Directors has given authorisation to temporarily increase the share of fixed loans up to 100%, and the authorisation is valid until January 2022. Wärtsilä hedges its loan portfolio by u</w:t>
      </w:r>
      <w:r w:rsidRPr="0039314B">
        <w:t>sing derivative instruments</w:t>
      </w:r>
      <w:r w:rsidR="0039314B">
        <w:t>,</w:t>
      </w:r>
      <w:r w:rsidRPr="0039314B">
        <w:t xml:space="preserve"> such as interest rate swaps, futures and options.</w:t>
      </w:r>
    </w:p>
    <w:p w:rsidR="000F07C1" w:rsidRPr="0039314B" w:rsidP="000F07C1" w14:paraId="0F7A2978" w14:textId="77777777">
      <w:pPr>
        <w:pStyle w:val="Bodytext2"/>
      </w:pPr>
    </w:p>
    <w:tbl>
      <w:tblPr>
        <w:tblStyle w:val="TableNormal"/>
        <w:tblCaption w:val="table_58_share_of_fixed_loans"/>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610" w:type="dxa"/>
            <w:gridSpan w:val="5"/>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Fixed rate loans</w:t>
            </w:r>
          </w:p>
        </w:tc>
        <w:tc>
          <w:tcPr>
            <w:tcW w:w="870" w:type="dxa"/>
            <w:tcBorders>
              <w:top w:val="single" w:sz="8" w:space="0" w:color="0F172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250</w:t>
            </w:r>
          </w:p>
        </w:tc>
        <w:tc>
          <w:tcPr>
            <w:tcW w:w="87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610" w:type="dxa"/>
            <w:gridSpan w:val="5"/>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Floating rate loans</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526</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796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610" w:type="dxa"/>
            <w:gridSpan w:val="5"/>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404</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610" w:type="dxa"/>
            <w:gridSpan w:val="5"/>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Share of fixed rate loans of total loans (including derivatives), %</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84</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68</w:t>
            </w:r>
          </w:p>
        </w:tc>
      </w:tr>
    </w:tbl>
    <w:p w:rsidR="000F07C1" w:rsidRPr="0039314B" w:rsidP="000F07C1" w14:paraId="70B1CFF8" w14:textId="77777777">
      <w:pPr>
        <w:pStyle w:val="Bodytext2"/>
      </w:pPr>
    </w:p>
    <w:p w:rsidR="000F07C1" w:rsidP="0000647E" w14:paraId="70844790" w14:textId="622A561E">
      <w:pPr>
        <w:pStyle w:val="Bodytext2"/>
      </w:pPr>
      <w:r w:rsidRPr="0039314B">
        <w:t>At the end of 202</w:t>
      </w:r>
      <w:r w:rsidR="006D2934">
        <w:t>1</w:t>
      </w:r>
      <w:r w:rsidRPr="0039314B">
        <w:t xml:space="preserve">, a one percentage point parallel decrease/increase of the yield curve would have resulted in a EUR </w:t>
      </w:r>
      <w:r w:rsidR="006D2934">
        <w:t>17</w:t>
      </w:r>
      <w:r w:rsidRPr="0039314B">
        <w:t xml:space="preserve"> million (2</w:t>
      </w:r>
      <w:r w:rsidR="006D2934">
        <w:t>6</w:t>
      </w:r>
      <w:r w:rsidRPr="0039314B">
        <w:t>) increa</w:t>
      </w:r>
      <w:r w:rsidRPr="0039314B">
        <w:t xml:space="preserve">se/decrease in the value of the net debt portfolio, including derivatives. A one percentage point change in the interest level would cause a </w:t>
      </w:r>
      <w:r w:rsidRPr="000105A5">
        <w:t xml:space="preserve">EUR </w:t>
      </w:r>
      <w:r w:rsidRPr="000105A5" w:rsidR="006D2934">
        <w:t>1</w:t>
      </w:r>
      <w:r w:rsidRPr="000105A5">
        <w:t xml:space="preserve"> million</w:t>
      </w:r>
      <w:r w:rsidRPr="0039314B">
        <w:t xml:space="preserve"> (</w:t>
      </w:r>
      <w:r w:rsidR="006D2934">
        <w:t>4</w:t>
      </w:r>
      <w:r w:rsidRPr="0039314B">
        <w:t xml:space="preserve">) change in the following year’s interest expenses </w:t>
      </w:r>
      <w:r w:rsidR="0039314B">
        <w:t>from</w:t>
      </w:r>
      <w:r w:rsidRPr="0039314B">
        <w:t xml:space="preserve"> the debt portfolio, including derivatives.</w:t>
      </w:r>
    </w:p>
    <w:p w:rsidR="008C5E69" w:rsidP="0000647E" w14:paraId="0D3698B0" w14:textId="028C5EF9">
      <w:pPr>
        <w:pStyle w:val="Bodytext2"/>
      </w:pPr>
    </w:p>
    <w:p w:rsidR="008C5E69" w:rsidRPr="0039314B" w:rsidP="0000647E" w14:paraId="5E24316D" w14:textId="25C0BE7C">
      <w:pPr>
        <w:pStyle w:val="Bodytext2"/>
      </w:pPr>
      <w:bookmarkStart w:id="1493" w:name="_Hlk93612327"/>
      <w:r w:rsidRPr="008C5E69">
        <w:t xml:space="preserve">As the main funding currency of the Group is Euro, the IBOR reform does not have a significant </w:t>
      </w:r>
      <w:r>
        <w:t>impact</w:t>
      </w:r>
      <w:r w:rsidRPr="008C5E69">
        <w:t xml:space="preserve"> </w:t>
      </w:r>
      <w:r>
        <w:t>on</w:t>
      </w:r>
      <w:r w:rsidRPr="008C5E69">
        <w:t xml:space="preserve"> the Group’s financial arrangements. Due to the reform</w:t>
      </w:r>
      <w:r>
        <w:t>,</w:t>
      </w:r>
      <w:r w:rsidRPr="008C5E69">
        <w:t xml:space="preserve"> the reference interest rate of long</w:t>
      </w:r>
      <w:r>
        <w:t>-</w:t>
      </w:r>
      <w:r w:rsidRPr="008C5E69">
        <w:t>term JPY loans</w:t>
      </w:r>
      <w:r>
        <w:t xml:space="preserve"> has been amended,</w:t>
      </w:r>
      <w:r w:rsidRPr="008C5E69">
        <w:t xml:space="preserve"> and the reference rates fo</w:t>
      </w:r>
      <w:r w:rsidRPr="008C5E69">
        <w:t>r the Group’s cash pool bank accounts have been changed in cases where a rate would have been discontinued.</w:t>
      </w:r>
    </w:p>
    <w:p w:rsidR="0000647E" w:rsidRPr="0039314B" w:rsidP="0000647E" w14:paraId="311169F8" w14:textId="041B0C50">
      <w:pPr>
        <w:pStyle w:val="Bodytext2"/>
      </w:pPr>
      <w:bookmarkEnd w:id="1493"/>
    </w:p>
    <w:p w:rsidR="000105A5" w:rsidP="000105A5" w14:paraId="38DA9C25" w14:textId="77777777">
      <w:pPr>
        <w:pStyle w:val="Bodytext2"/>
      </w:pPr>
      <w:r w:rsidRPr="0039314B">
        <w:t xml:space="preserve">Additional information related to loans can be found in Note 5.2. Financial assets and liabilities by measurement category and Note 5.6. </w:t>
      </w:r>
      <w:r w:rsidRPr="0039314B">
        <w:t>Maturity analysis of financial liabilities.</w:t>
      </w:r>
      <w:r w:rsidRPr="0039314B" w:rsidR="0000647E">
        <w:t xml:space="preserve"> </w:t>
      </w:r>
      <w:r w:rsidRPr="0039314B">
        <w:t>Information on interest rate derivatives is presented in Note 5.7. Derivative financial instruments.</w:t>
      </w:r>
    </w:p>
    <w:p w:rsidR="000105A5" w:rsidP="000105A5" w14:paraId="17D151A0" w14:textId="77777777">
      <w:pPr>
        <w:pStyle w:val="Bodytext2"/>
      </w:pPr>
    </w:p>
    <w:p w:rsidR="000F07C1" w:rsidRPr="0039314B" w:rsidP="000105A5" w14:paraId="1CCCCED5" w14:textId="35A50C30">
      <w:pPr>
        <w:pStyle w:val="Heading13"/>
      </w:pPr>
      <w:r w:rsidRPr="0039314B">
        <w:t>Liquidity and refinancing risk</w:t>
      </w:r>
    </w:p>
    <w:p w:rsidR="000F07C1" w:rsidP="000F07C1" w14:paraId="78278111" w14:textId="49159905">
      <w:pPr>
        <w:pStyle w:val="Bodytext2"/>
      </w:pPr>
      <w:r w:rsidRPr="0039314B">
        <w:t>Wärtsilä ensures sufficient liquidity at all times by efficient cash management</w:t>
      </w:r>
      <w:r w:rsidRPr="0039314B">
        <w:t xml:space="preserve"> and by maintaining sufficient </w:t>
      </w:r>
      <w:r w:rsidR="0039314B">
        <w:t xml:space="preserve">available </w:t>
      </w:r>
      <w:r w:rsidRPr="0039314B">
        <w:t>committed and uncommitted credit lines. Refinancing risk is managed by having a balanced and sufficiently long loan portfolio.</w:t>
      </w:r>
    </w:p>
    <w:p w:rsidR="000F07C1" w:rsidRPr="0039314B" w:rsidP="000F07C1" w14:paraId="1E8F5227" w14:textId="77777777">
      <w:pPr>
        <w:pStyle w:val="Bodytext2"/>
      </w:pPr>
    </w:p>
    <w:p w:rsidR="000F07C1" w:rsidRPr="0039314B" w:rsidP="000F07C1" w14:paraId="7B4F6813" w14:textId="77777777">
      <w:pPr>
        <w:pStyle w:val="Bodytext2"/>
      </w:pPr>
      <w:r w:rsidRPr="0039314B">
        <w:t>The existing loan facilities include:</w:t>
      </w:r>
    </w:p>
    <w:p w:rsidR="000F07C1" w:rsidRPr="0039314B" w:rsidP="000F07C1" w14:paraId="30588CCD" w14:textId="4B33A309">
      <w:pPr>
        <w:pStyle w:val="Bodytext2"/>
      </w:pPr>
      <w:r w:rsidRPr="0039314B">
        <w:t>• Committed Revolving Credit Facilities totalling</w:t>
      </w:r>
      <w:r w:rsidRPr="0039314B">
        <w:t xml:space="preserve"> EUR </w:t>
      </w:r>
      <w:r>
        <w:t>650</w:t>
      </w:r>
      <w:r w:rsidRPr="0039314B">
        <w:t xml:space="preserve"> million (6</w:t>
      </w:r>
      <w:r>
        <w:t>6</w:t>
      </w:r>
      <w:r w:rsidRPr="0039314B">
        <w:t>0).</w:t>
      </w:r>
    </w:p>
    <w:p w:rsidR="000F07C1" w:rsidRPr="0039314B" w:rsidP="000F07C1" w14:paraId="501E5D87" w14:textId="54CCCD66">
      <w:pPr>
        <w:pStyle w:val="Bodytext2"/>
      </w:pPr>
      <w:r w:rsidRPr="0039314B">
        <w:t xml:space="preserve">• Finnish Commercial Paper programmes totalling EUR </w:t>
      </w:r>
      <w:r w:rsidRPr="00241DDF">
        <w:t>850</w:t>
      </w:r>
      <w:r w:rsidRPr="0039314B">
        <w:t xml:space="preserve"> million (8</w:t>
      </w:r>
      <w:r>
        <w:t>5</w:t>
      </w:r>
      <w:r w:rsidRPr="0039314B">
        <w:t>0).</w:t>
      </w:r>
    </w:p>
    <w:p w:rsidR="000F07C1" w:rsidRPr="0039314B" w:rsidP="000F07C1" w14:paraId="37F6E1B4" w14:textId="77777777">
      <w:pPr>
        <w:pStyle w:val="Bodytext2"/>
      </w:pPr>
    </w:p>
    <w:p w:rsidR="000F07C1" w:rsidRPr="0039314B" w:rsidP="000F07C1" w14:paraId="153D922E" w14:textId="32C6BA34">
      <w:pPr>
        <w:pStyle w:val="Bodytext2"/>
      </w:pPr>
      <w:r w:rsidRPr="0039314B">
        <w:t xml:space="preserve">The average maturity of the non-current debt is </w:t>
      </w:r>
      <w:r>
        <w:t>36</w:t>
      </w:r>
      <w:r w:rsidRPr="0039314B">
        <w:t xml:space="preserve"> months (</w:t>
      </w:r>
      <w:r>
        <w:t>36</w:t>
      </w:r>
      <w:r w:rsidRPr="0039314B">
        <w:t xml:space="preserve">) and the average maturity of the confirmed credit lines is </w:t>
      </w:r>
      <w:r>
        <w:t>23</w:t>
      </w:r>
      <w:r w:rsidRPr="0039314B">
        <w:t xml:space="preserve"> months (</w:t>
      </w:r>
      <w:r>
        <w:t>21</w:t>
      </w:r>
      <w:r w:rsidRPr="0039314B">
        <w:t xml:space="preserve">). Additional </w:t>
      </w:r>
      <w:r w:rsidRPr="0039314B">
        <w:t>information in Note 5.6. Maturity analysis of financial liabilities.</w:t>
      </w:r>
    </w:p>
    <w:p w:rsidR="000F07C1" w:rsidRPr="0039314B" w:rsidP="000F07C1" w14:paraId="761DB5BD" w14:textId="77777777">
      <w:pPr>
        <w:pStyle w:val="Bodytext2"/>
      </w:pPr>
    </w:p>
    <w:p w:rsidR="000F07C1" w:rsidRPr="0039314B" w:rsidP="000F07C1" w14:paraId="6CD21B5A" w14:textId="254EF9BE">
      <w:pPr>
        <w:pStyle w:val="Bodytext2"/>
      </w:pPr>
      <w:r w:rsidRPr="0039314B">
        <w:t xml:space="preserve">At year-end, the Group had cash and cash equivalents totalling EUR </w:t>
      </w:r>
      <w:r>
        <w:t>964</w:t>
      </w:r>
      <w:r w:rsidRPr="0039314B">
        <w:t xml:space="preserve"> million (</w:t>
      </w:r>
      <w:r>
        <w:t>932</w:t>
      </w:r>
      <w:r w:rsidRPr="0039314B">
        <w:t>)</w:t>
      </w:r>
      <w:r>
        <w:t xml:space="preserve">, of which, in 2020, </w:t>
      </w:r>
      <w:r w:rsidRPr="0039314B">
        <w:t xml:space="preserve">EUR </w:t>
      </w:r>
      <w:r>
        <w:t>14</w:t>
      </w:r>
      <w:r w:rsidRPr="0039314B">
        <w:t xml:space="preserve"> million</w:t>
      </w:r>
      <w:r>
        <w:t xml:space="preserve"> was</w:t>
      </w:r>
      <w:r w:rsidRPr="0039314B">
        <w:t xml:space="preserve"> related to assets held for sale, as well as EUR </w:t>
      </w:r>
      <w:r>
        <w:t>650</w:t>
      </w:r>
      <w:r w:rsidRPr="0039314B">
        <w:t xml:space="preserve"> million (6</w:t>
      </w:r>
      <w:r>
        <w:t>6</w:t>
      </w:r>
      <w:r w:rsidRPr="0039314B">
        <w:t xml:space="preserve">0) </w:t>
      </w:r>
      <w:r w:rsidR="0039314B">
        <w:t xml:space="preserve">of </w:t>
      </w:r>
      <w:r w:rsidRPr="0039314B">
        <w:t>non-utilised committed credit facilities. Commercial Paper Programmes were not utilised on 31 December 202</w:t>
      </w:r>
      <w:r>
        <w:t>1</w:t>
      </w:r>
      <w:r w:rsidRPr="0039314B">
        <w:t xml:space="preserve"> nor on 31 December 20</w:t>
      </w:r>
      <w:r>
        <w:t>20</w:t>
      </w:r>
      <w:r w:rsidRPr="0039314B">
        <w:t>.</w:t>
      </w:r>
    </w:p>
    <w:p w:rsidR="000F07C1" w:rsidRPr="0039314B" w:rsidP="000F07C1" w14:paraId="53704A19" w14:textId="77777777">
      <w:pPr>
        <w:pStyle w:val="Bodytext2"/>
      </w:pPr>
    </w:p>
    <w:p w:rsidR="000F07C1" w:rsidRPr="0039314B" w:rsidP="000F07C1" w14:paraId="15D78B68" w14:textId="3BD61E7E">
      <w:pPr>
        <w:pStyle w:val="Bodytext2"/>
      </w:pPr>
      <w:r w:rsidRPr="0039314B">
        <w:t>Committed Revolving Credit Facilities</w:t>
      </w:r>
      <w:r w:rsidR="0039314B">
        <w:t>,</w:t>
      </w:r>
      <w:r w:rsidRPr="0039314B">
        <w:t xml:space="preserve"> as well as the parent company's long-term loans</w:t>
      </w:r>
      <w:r>
        <w:t>,</w:t>
      </w:r>
      <w:r w:rsidRPr="0039314B">
        <w:t xml:space="preserve"> include a financial covenan</w:t>
      </w:r>
      <w:r w:rsidRPr="0039314B">
        <w:t xml:space="preserve">t (solvency ratio). </w:t>
      </w:r>
      <w:r w:rsidR="0039314B">
        <w:t>The s</w:t>
      </w:r>
      <w:r w:rsidRPr="0039314B">
        <w:t>olvency ratio is expected to remain clearly over the covenant level for the foreseeable future.</w:t>
      </w:r>
    </w:p>
    <w:p w:rsidR="000F07C1" w:rsidRPr="0039314B" w:rsidP="000F07C1" w14:paraId="090BE4F5" w14:textId="77777777">
      <w:pPr>
        <w:pStyle w:val="Bodytext2"/>
      </w:pPr>
    </w:p>
    <w:p w:rsidR="000F07C1" w:rsidRPr="0039314B" w:rsidP="000F07C1" w14:paraId="285B4C1E" w14:textId="77777777">
      <w:pPr>
        <w:pStyle w:val="Heading13"/>
      </w:pPr>
      <w:r w:rsidRPr="0039314B">
        <w:t>Revolving credit facilities</w:t>
      </w:r>
    </w:p>
    <w:p w:rsidR="000F07C1" w:rsidRPr="0039314B" w:rsidP="000F07C1" w14:paraId="5183EED1" w14:textId="77777777">
      <w:pPr>
        <w:pStyle w:val="Bodytext2"/>
      </w:pPr>
    </w:p>
    <w:tbl>
      <w:tblPr>
        <w:tblStyle w:val="TableNormal"/>
        <w:tblCaption w:val="table_58_revolving"/>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hRule="exact" w:val="240"/>
        </w:trPr>
        <w:tc>
          <w:tcPr>
            <w:tcW w:w="2130"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87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Year</w:t>
            </w:r>
          </w:p>
        </w:tc>
        <w:tc>
          <w:tcPr>
            <w:tcW w:w="87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Maturing</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Available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(end of</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period)</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Maturing</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Available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(end of</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period)</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2020</w:t>
            </w: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t>
            </w:r>
          </w:p>
        </w:tc>
        <w:tc>
          <w:tcPr>
            <w:tcW w:w="87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660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650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2022</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510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2023</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2024</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130</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2025</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2026</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bl>
    <w:p w:rsidR="000105A5" w:rsidP="000F07C1" w14:paraId="32CA5874" w14:textId="77777777">
      <w:pPr>
        <w:pStyle w:val="Heading13"/>
      </w:pPr>
    </w:p>
    <w:p w:rsidR="000F07C1" w:rsidRPr="0039314B" w:rsidP="000F07C1" w14:paraId="142EEB47" w14:textId="6CA5E18A">
      <w:pPr>
        <w:pStyle w:val="Heading13"/>
      </w:pPr>
      <w:r w:rsidRPr="0039314B">
        <w:t>Credit risk</w:t>
      </w:r>
    </w:p>
    <w:p w:rsidR="000F07C1" w:rsidRPr="0039314B" w:rsidP="000F07C1" w14:paraId="6704B1D9" w14:textId="57D9C47D">
      <w:pPr>
        <w:pStyle w:val="Bodytext2"/>
      </w:pPr>
      <w:r>
        <w:t>R</w:t>
      </w:r>
      <w:r w:rsidRPr="0039314B" w:rsidR="0015012F">
        <w:t>esponsibility for managing the credit risks associated with ordinary commercial activities lies with the Businesses and the Group companies. Major trade and project finance credit risks are minimised by transferring risks to banks, insurance companies</w:t>
      </w:r>
      <w:r>
        <w:t>,</w:t>
      </w:r>
      <w:r w:rsidRPr="0039314B" w:rsidR="0015012F">
        <w:t xml:space="preserve"> and export credit organisations.</w:t>
      </w:r>
    </w:p>
    <w:p w:rsidR="000F07C1" w:rsidRPr="0039314B" w:rsidP="000F07C1" w14:paraId="3A27AE5F" w14:textId="77777777">
      <w:pPr>
        <w:pStyle w:val="Bodytext2"/>
      </w:pPr>
    </w:p>
    <w:p w:rsidR="000F07C1" w:rsidRPr="0039314B" w:rsidP="000F07C1" w14:paraId="1F593281" w14:textId="127547FB">
      <w:pPr>
        <w:pStyle w:val="Bodytext2"/>
      </w:pPr>
      <w:r w:rsidRPr="0039314B">
        <w:t>The credit risks related to the plac</w:t>
      </w:r>
      <w:r w:rsidRPr="0039314B">
        <w:t>ement of liquid funds and to trading in financial instruments are minimised by setting explicit limits for the counterparties</w:t>
      </w:r>
      <w:r w:rsidR="0039314B">
        <w:t>,</w:t>
      </w:r>
      <w:r w:rsidRPr="0039314B">
        <w:t xml:space="preserve"> and by making agreements only with the most reputable domestic and international banks and financial institutions. As only high c</w:t>
      </w:r>
      <w:r w:rsidRPr="0039314B">
        <w:t>redit quality (A- minimum rating requirement) counterparties are utilised for derivative financial instruments</w:t>
      </w:r>
      <w:r w:rsidR="0039314B">
        <w:t>,</w:t>
      </w:r>
      <w:r w:rsidRPr="0039314B">
        <w:t xml:space="preserve"> and the transactions are </w:t>
      </w:r>
      <w:r w:rsidR="0039314B">
        <w:t>made</w:t>
      </w:r>
      <w:r w:rsidRPr="0039314B">
        <w:t xml:space="preserve"> under ISDA Master Agreements, no credit losses are expected from these instruments.</w:t>
      </w:r>
    </w:p>
    <w:p w:rsidR="000F07C1" w:rsidRPr="0039314B" w:rsidP="000F07C1" w14:paraId="3BF336FC" w14:textId="77777777">
      <w:pPr>
        <w:pStyle w:val="Bodytext2"/>
      </w:pPr>
    </w:p>
    <w:p w:rsidR="000F07C1" w:rsidRPr="0039314B" w:rsidP="000F07C1" w14:paraId="7C913D41" w14:textId="77777777">
      <w:pPr>
        <w:pStyle w:val="Bodytext2"/>
      </w:pPr>
      <w:r w:rsidRPr="0039314B">
        <w:t>The Group companies deposit t</w:t>
      </w:r>
      <w:r w:rsidRPr="0039314B">
        <w:t>he maximum amount of their liquid financial assets with the centralised treasury when local laws and central bank regulations allow it. The Group’s funds are placed in instruments with sufficient liquidity (current bank deposits or Finnish Commercial Paper</w:t>
      </w:r>
      <w:r w:rsidRPr="0039314B">
        <w:t>s) and rating (at least single-A rated instruments or other instruments approved by the Group’s CFO). These placements are constantly monitored by the Group Treasury, and Wärtsilä does not expect any future defaults from the placements.</w:t>
      </w:r>
    </w:p>
    <w:p w:rsidR="000F07C1" w:rsidRPr="0039314B" w:rsidP="000F07C1" w14:paraId="6AE7F367" w14:textId="77777777">
      <w:pPr>
        <w:pStyle w:val="Bodytext2"/>
      </w:pPr>
    </w:p>
    <w:p w:rsidR="000F07C1" w:rsidRPr="0039314B" w:rsidP="000F07C1" w14:paraId="5F719BF2" w14:textId="78397D3A">
      <w:pPr>
        <w:pStyle w:val="Bodytext2"/>
      </w:pPr>
      <w:r w:rsidRPr="0039314B">
        <w:t xml:space="preserve">The </w:t>
      </w:r>
      <w:r w:rsidRPr="0039314B">
        <w:t>expected credit losses associated with investments carried at amortised cost are assessed on a forward-looking basis based on investment maturity dates</w:t>
      </w:r>
      <w:r w:rsidR="0039314B">
        <w:t>,</w:t>
      </w:r>
      <w:r w:rsidRPr="0039314B">
        <w:t xml:space="preserve"> and counterparty credit risk on </w:t>
      </w:r>
      <w:r w:rsidR="0039314B">
        <w:t xml:space="preserve">a </w:t>
      </w:r>
      <w:r w:rsidRPr="0039314B">
        <w:t>quarterly basis. As of 31 December 202</w:t>
      </w:r>
      <w:r>
        <w:t>1</w:t>
      </w:r>
      <w:r w:rsidRPr="0039314B">
        <w:t>, the expected credit loss was</w:t>
      </w:r>
      <w:r w:rsidRPr="0039314B">
        <w:t xml:space="preserve"> not material.</w:t>
      </w:r>
    </w:p>
    <w:p w:rsidR="000F07C1" w:rsidRPr="0039314B" w:rsidP="000F07C1" w14:paraId="2478718D" w14:textId="77777777">
      <w:pPr>
        <w:pStyle w:val="Bodytext2"/>
      </w:pPr>
    </w:p>
    <w:p w:rsidR="000F07C1" w:rsidRPr="0039314B" w:rsidP="000F07C1" w14:paraId="3BA8F182" w14:textId="75770A6C">
      <w:pPr>
        <w:pStyle w:val="Bodytext2"/>
      </w:pPr>
      <w:r w:rsidRPr="0039314B">
        <w:t>The expected credit losses are presented in Note 4.</w:t>
      </w:r>
      <w:r>
        <w:t>2</w:t>
      </w:r>
      <w:r w:rsidRPr="0039314B">
        <w:t>.</w:t>
      </w:r>
      <w:r>
        <w:t xml:space="preserve"> Trade receivables and contract assets and liabilities</w:t>
      </w:r>
      <w:r w:rsidRPr="0039314B">
        <w:t>.</w:t>
      </w:r>
    </w:p>
    <w:p w:rsidR="000F07C1" w:rsidRPr="0039314B" w:rsidP="000F07C1" w14:paraId="5B45E669" w14:textId="77777777">
      <w:pPr>
        <w:pStyle w:val="Bodytext2"/>
      </w:pPr>
    </w:p>
    <w:p w:rsidR="000F07C1" w:rsidRPr="0039314B" w:rsidP="000F07C1" w14:paraId="23A53059" w14:textId="77777777">
      <w:pPr>
        <w:pStyle w:val="Heading13"/>
      </w:pPr>
      <w:r w:rsidRPr="0039314B">
        <w:t>Equity price risk</w:t>
      </w:r>
    </w:p>
    <w:p w:rsidR="000F07C1" w:rsidRPr="0039314B" w:rsidP="000F07C1" w14:paraId="133C96E2" w14:textId="124C2212">
      <w:pPr>
        <w:pStyle w:val="Bodytext2"/>
      </w:pPr>
      <w:r w:rsidRPr="0039314B">
        <w:t xml:space="preserve">Wärtsilä has equity investments totalling EUR </w:t>
      </w:r>
      <w:r>
        <w:t>12</w:t>
      </w:r>
      <w:r w:rsidRPr="0039314B">
        <w:t xml:space="preserve"> million (1</w:t>
      </w:r>
      <w:r>
        <w:t>2</w:t>
      </w:r>
      <w:r w:rsidRPr="0039314B">
        <w:t>) in power plant companies, most of which are locate</w:t>
      </w:r>
      <w:r w:rsidRPr="0039314B">
        <w:t xml:space="preserve">d in developing countries and performing well according to expectations. Additional information </w:t>
      </w:r>
      <w:r w:rsidR="0039314B">
        <w:t xml:space="preserve">is given </w:t>
      </w:r>
      <w:r w:rsidRPr="0039314B">
        <w:t>in Note 5.2. Financial assets and liabilities by measurement category.</w:t>
      </w:r>
    </w:p>
    <w:p w:rsidR="000F07C1" w:rsidRPr="0039314B" w:rsidP="000F07C1" w14:paraId="167519B2" w14:textId="77777777">
      <w:pPr>
        <w:pStyle w:val="Bodytext2"/>
      </w:pPr>
    </w:p>
    <w:p w:rsidR="000F07C1" w:rsidRPr="0039314B" w:rsidP="000F07C1" w14:paraId="256780FB" w14:textId="77777777">
      <w:pPr>
        <w:pStyle w:val="Heading13"/>
      </w:pPr>
      <w:r w:rsidRPr="0039314B">
        <w:t>Capital risk management</w:t>
      </w:r>
    </w:p>
    <w:p w:rsidR="000105A5" w:rsidP="000F07C1" w14:paraId="2B7DD920" w14:textId="77777777">
      <w:pPr>
        <w:pStyle w:val="Bodytext2"/>
      </w:pPr>
      <w:r w:rsidRPr="0039314B">
        <w:t>Wärtsilä’s policy is to secure a strong capital base</w:t>
      </w:r>
      <w:r w:rsidR="0039314B">
        <w:t>, both to maintain</w:t>
      </w:r>
      <w:r w:rsidRPr="0039314B">
        <w:t xml:space="preserve"> the confidence of investors and creditors and for the future development of the business. The capital is defined as total equity</w:t>
      </w:r>
      <w:r w:rsidR="0039314B">
        <w:t>,</w:t>
      </w:r>
      <w:r w:rsidRPr="0039314B">
        <w:t xml:space="preserve"> including non-controlling interests and net interest-bearing debt. The target for Wärtsilä is to maintain gear</w:t>
      </w:r>
      <w:r w:rsidRPr="0039314B">
        <w:t>ing below 0.50 and to pay a dividend of at least 50% of earnings over the cycle.</w:t>
      </w:r>
    </w:p>
    <w:p w:rsidR="000105A5" w:rsidP="000F07C1" w14:paraId="04747FA2" w14:textId="77777777">
      <w:pPr>
        <w:pStyle w:val="Bodytext2"/>
      </w:pPr>
    </w:p>
    <w:tbl>
      <w:tblPr>
        <w:tblStyle w:val="TableNormal"/>
        <w:tblCaption w:val="table_58_capital_risk_managements"/>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4740" w:type="dxa"/>
            <w:gridSpan w:val="4"/>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Lease liabilities, non-current</w:t>
            </w: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157</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interest-bearing debt, non-current</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694</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Lease liabilities, current</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interest-bearing debt, current</w:t>
            </w: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82</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interest-bearing liabilities</w:t>
            </w: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973</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1,327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receivables</w:t>
            </w: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and cash equivalents</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-964</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-919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and cash equivalents pertaining to assets held for sale</w:t>
            </w: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FEFEF"/>
                <w:sz w:val="13"/>
                <w:u w:val="none"/>
                <w:vertAlign w:val="baseline"/>
              </w:rPr>
            </w:pPr>
            <w:r>
              <w:rPr>
                <w:rFonts w:ascii="Arial" w:eastAsia="Arial" w:hAnsi="Arial" w:cs="Arial"/>
                <w:b/>
                <w:i w:val="0"/>
                <w:strike w:val="0"/>
                <w:color w:val="EFEFEF"/>
                <w:sz w:val="13"/>
                <w:u w:val="none"/>
                <w:vertAlign w:val="baseline"/>
              </w:rPr>
              <w:t>0</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interest-bearing assets</w:t>
            </w:r>
          </w:p>
        </w:tc>
        <w:tc>
          <w:tcPr>
            <w:tcW w:w="87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-969</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-933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net interest-bearing debt</w:t>
            </w:r>
          </w:p>
        </w:tc>
        <w:tc>
          <w:tcPr>
            <w:tcW w:w="87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Total equity</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2,323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2,188</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Gearing</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0.00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0.18</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 the capital management Wärtsilä also follows the gearing development:</w:t>
            </w: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Equity and liabilities</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6,523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6,232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Advances received</w:t>
            </w: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-498</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6,025</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5,780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Solvency ratio, %</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38.1</w:t>
            </w:r>
          </w:p>
        </w:tc>
      </w:tr>
    </w:tbl>
    <w:p w:rsidR="000F07C1" w:rsidRPr="00CB4B31" w:rsidP="000F07C1" w14:paraId="483BF7BB" w14:textId="15FF7692">
      <w:pPr>
        <w:pStyle w:val="Bodytext2"/>
        <w:rPr>
          <w:sz w:val="2"/>
          <w:szCs w:val="2"/>
        </w:rPr>
      </w:pPr>
      <w:r>
        <w:br w:type="column"/>
      </w:r>
    </w:p>
    <w:p w:rsidR="000C40B7" w:rsidP="00967DC8" w14:paraId="28B9CC17" w14:textId="77777777">
      <w:pPr>
        <w:pStyle w:val="Heading11"/>
        <w:pageBreakBefore/>
      </w:pPr>
      <w:bookmarkStart w:id="1494" w:name="RG_MARKER_7252"/>
      <w:bookmarkStart w:id="1495" w:name="RG_MARKER_7314"/>
      <w:r>
        <w:rPr>
          <w:noProof/>
        </w:rPr>
        <w:drawing>
          <wp:anchor distT="0" distB="0" distL="114300" distR="114300" simplePos="0" relativeHeight="251673600" behindDoc="1" locked="0" layoutInCell="1" allowOverlap="1">
            <wp:simplePos x="0" y="0"/>
            <wp:positionH relativeFrom="page">
              <wp:posOffset>0</wp:posOffset>
            </wp:positionH>
            <wp:positionV relativeFrom="page">
              <wp:posOffset>1155940</wp:posOffset>
            </wp:positionV>
            <wp:extent cx="5115600" cy="5580000"/>
            <wp:effectExtent l="0" t="0" r="8890" b="1905"/>
            <wp:wrapNone/>
            <wp:docPr id="17771683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228905" name="Picture 1"/>
                    <pic:cNvPicPr/>
                  </pic:nvPicPr>
                  <pic:blipFill>
                    <a:blip xmlns:r="http://schemas.openxmlformats.org/officeDocument/2006/relationships" r:embed="rId57">
                      <a:extLst>
                        <a:ext xmlns:a="http://schemas.openxmlformats.org/drawingml/2006/main" uri="{28A0092B-C50C-407E-A947-70E740481C1C}">
                          <a14:useLocalDpi xmlns:a14="http://schemas.microsoft.com/office/drawing/2010/main" val="0"/>
                        </a:ext>
                      </a:extLst>
                    </a:blip>
                    <a:stretch>
                      <a:fillRect/>
                    </a:stretch>
                  </pic:blipFill>
                  <pic:spPr>
                    <a:xfrm>
                      <a:off x="0" y="0"/>
                      <a:ext cx="5115600" cy="5580000"/>
                    </a:xfrm>
                    <a:prstGeom prst="rect">
                      <a:avLst/>
                    </a:prstGeom>
                  </pic:spPr>
                </pic:pic>
              </a:graphicData>
            </a:graphic>
            <wp14:sizeRelH relativeFrom="page">
              <wp14:pctWidth>0</wp14:pctWidth>
            </wp14:sizeRelH>
            <wp14:sizeRelV relativeFrom="page">
              <wp14:pctHeight>0</wp14:pctHeight>
            </wp14:sizeRelV>
          </wp:anchor>
        </w:drawing>
      </w:r>
      <w:bookmarkEnd w:id="1495"/>
      <w:bookmarkEnd w:id="1494"/>
    </w:p>
    <w:p w:rsidR="000C40B7" w:rsidP="00967DC8" w14:paraId="7AD76558" w14:textId="77777777">
      <w:pPr>
        <w:pStyle w:val="Heading11"/>
      </w:pPr>
    </w:p>
    <w:p w:rsidR="000C40B7" w:rsidP="00967DC8" w14:paraId="3457DCC0" w14:textId="77777777">
      <w:pPr>
        <w:pStyle w:val="Heading11"/>
      </w:pPr>
    </w:p>
    <w:p w:rsidR="000C40B7" w:rsidP="00967DC8" w14:paraId="29BC8E4A" w14:textId="77777777">
      <w:pPr>
        <w:pStyle w:val="Heading11"/>
      </w:pPr>
    </w:p>
    <w:p w:rsidR="000C40B7" w:rsidP="00967DC8" w14:paraId="41AB6CDF" w14:textId="77777777">
      <w:pPr>
        <w:pStyle w:val="Heading11"/>
      </w:pPr>
    </w:p>
    <w:p w:rsidR="000C40B7" w:rsidP="00967DC8" w14:paraId="687C857F" w14:textId="77777777">
      <w:pPr>
        <w:pStyle w:val="Heading11"/>
      </w:pPr>
    </w:p>
    <w:p w:rsidR="000C40B7" w:rsidP="00967DC8" w14:paraId="0C1A34DA" w14:textId="77777777">
      <w:pPr>
        <w:pStyle w:val="Heading11"/>
      </w:pPr>
    </w:p>
    <w:p w:rsidR="000C40B7" w:rsidP="00967DC8" w14:paraId="646A4F42" w14:textId="77777777">
      <w:pPr>
        <w:pStyle w:val="Heading11"/>
      </w:pPr>
    </w:p>
    <w:p w:rsidR="000C40B7" w:rsidP="00967DC8" w14:paraId="5D6F7C6E" w14:textId="77777777">
      <w:pPr>
        <w:pStyle w:val="Heading11"/>
      </w:pPr>
    </w:p>
    <w:p w:rsidR="000C40B7" w:rsidP="00967DC8" w14:paraId="19055F8E" w14:textId="77777777">
      <w:pPr>
        <w:pStyle w:val="Heading11"/>
      </w:pPr>
    </w:p>
    <w:p w:rsidR="000C40B7" w:rsidP="00967DC8" w14:paraId="7E2F8B05" w14:textId="77777777">
      <w:pPr>
        <w:pStyle w:val="Heading11"/>
      </w:pPr>
    </w:p>
    <w:p w:rsidR="000C40B7" w:rsidP="00967DC8" w14:paraId="00F5471D" w14:textId="77777777">
      <w:pPr>
        <w:pStyle w:val="Heading11"/>
      </w:pPr>
    </w:p>
    <w:p w:rsidR="000C40B7" w:rsidP="00967DC8" w14:paraId="5CB5E698" w14:textId="77777777">
      <w:pPr>
        <w:pStyle w:val="Heading11"/>
      </w:pPr>
    </w:p>
    <w:p w:rsidR="000C40B7" w:rsidP="00967DC8" w14:paraId="495C44DD" w14:textId="77777777">
      <w:pPr>
        <w:pStyle w:val="Heading11"/>
      </w:pPr>
    </w:p>
    <w:p w:rsidR="000C40B7" w:rsidP="00967DC8" w14:paraId="73CAA9F3" w14:textId="77777777">
      <w:pPr>
        <w:pStyle w:val="Heading11"/>
      </w:pPr>
    </w:p>
    <w:p w:rsidR="000C40B7" w:rsidP="00967DC8" w14:paraId="40E6BD0C" w14:textId="77777777">
      <w:pPr>
        <w:pStyle w:val="Heading11"/>
      </w:pPr>
    </w:p>
    <w:p w:rsidR="000C40B7" w:rsidP="00967DC8" w14:paraId="6EEF533E" w14:textId="77777777">
      <w:pPr>
        <w:pStyle w:val="Heading11"/>
      </w:pPr>
    </w:p>
    <w:p w:rsidR="00967DC8" w:rsidP="00967DC8" w14:paraId="6E596237" w14:textId="77777777">
      <w:pPr>
        <w:pStyle w:val="Heading11"/>
      </w:pPr>
      <w:r w:rsidRPr="00967DC8">
        <w:t>6. GROUP STRUCTURE</w:t>
      </w:r>
    </w:p>
    <w:p w:rsidR="00A77F9E" w:rsidP="00A77F9E" w14:paraId="7619B902" w14:textId="77777777">
      <w:pPr>
        <w:pStyle w:val="Heading12"/>
        <w:rPr>
          <w:b w:val="0"/>
        </w:rPr>
      </w:pPr>
      <w:r>
        <w:rPr>
          <w:noProof/>
        </w:rPr>
        <mc:AlternateContent>
          <mc:Choice Requires="wps">
            <w:drawing>
              <wp:anchor distT="0" distB="0" distL="114300" distR="114300" simplePos="0" relativeHeight="251703296" behindDoc="0" locked="0" layoutInCell="1" allowOverlap="1">
                <wp:simplePos x="0" y="0"/>
                <wp:positionH relativeFrom="column">
                  <wp:posOffset>0</wp:posOffset>
                </wp:positionH>
                <wp:positionV relativeFrom="paragraph">
                  <wp:posOffset>53975</wp:posOffset>
                </wp:positionV>
                <wp:extent cx="4680000" cy="0"/>
                <wp:effectExtent l="19050" t="19050" r="25400" b="19050"/>
                <wp:wrapNone/>
                <wp:docPr id="1775043834" name="Straight Connector 3"/>
                <wp:cNvGraphicFramePr/>
                <a:graphic xmlns:a="http://schemas.openxmlformats.org/drawingml/2006/main">
                  <a:graphicData uri="http://schemas.microsoft.com/office/word/2010/wordprocessingShape">
                    <wps:wsp xmlns:wps="http://schemas.microsoft.com/office/word/2010/wordprocessingShape">
                      <wps:cNvCnPr/>
                      <wps:spPr>
                        <a:xfrm>
                          <a:off x="0" y="0"/>
                          <a:ext cx="468000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anchor>
            </w:drawing>
          </mc:Choice>
          <mc:Fallback>
            <w:pict>
              <v:line id="Straight Connector 3" o:spid="_x0000_s1043" style="mso-width-percent:0;mso-width-relative:margin;mso-wrap-distance-bottom:0;mso-wrap-distance-left:9pt;mso-wrap-distance-right:9pt;mso-wrap-distance-top:0;position:absolute;v-text-anchor:top;z-index:251702272" from="0,4.25pt" to="368.5pt,4.25pt" fillcolor="this" stroked="t" strokecolor="#99b7c4" strokeweight="2.25pt">
                <v:stroke endcap="round"/>
              </v:line>
            </w:pict>
          </mc:Fallback>
        </mc:AlternateContent>
      </w:r>
    </w:p>
    <w:p w:rsidR="00A77F9E" w:rsidRPr="00104E68" w:rsidP="00A77F9E" w14:paraId="53DB8A9F" w14:textId="77777777">
      <w:pPr>
        <w:pStyle w:val="Heading12"/>
        <w:rPr>
          <w:b w:val="0"/>
          <w:bCs/>
          <w:color w:val="99B7C4"/>
        </w:rPr>
      </w:pPr>
      <w:r w:rsidRPr="00104E68">
        <w:rPr>
          <w:b w:val="0"/>
          <w:bCs/>
          <w:color w:val="99B7C4"/>
        </w:rPr>
        <w:t>Content in this section:</w:t>
      </w:r>
    </w:p>
    <w:p w:rsidR="00A77F9E" w:rsidRPr="00104E68" w:rsidP="00A77F9E" w14:paraId="2861CA35" w14:textId="77777777">
      <w:pPr>
        <w:pStyle w:val="Heading12"/>
        <w:ind w:left="284"/>
        <w:rPr>
          <w:color w:val="99B7C4"/>
          <w:sz w:val="12"/>
          <w:szCs w:val="12"/>
        </w:rPr>
      </w:pPr>
    </w:p>
    <w:p w:rsidR="00A77F9E" w:rsidRPr="00104E68" w:rsidP="00A77F9E" w14:paraId="4A9721EE" w14:textId="77777777">
      <w:pPr>
        <w:pStyle w:val="Heading12"/>
        <w:ind w:left="284"/>
        <w:rPr>
          <w:color w:val="99B7C4"/>
        </w:rPr>
      </w:pPr>
      <w:r>
        <w:rPr>
          <w:color w:val="99B7C4"/>
        </w:rPr>
        <w:t>6</w:t>
      </w:r>
      <w:r w:rsidRPr="00104E68">
        <w:rPr>
          <w:color w:val="99B7C4"/>
        </w:rPr>
        <w:t xml:space="preserve">.1. </w:t>
      </w:r>
      <w:r>
        <w:rPr>
          <w:color w:val="99B7C4"/>
        </w:rPr>
        <w:t>ACQUISITIONS</w:t>
      </w:r>
    </w:p>
    <w:p w:rsidR="00A77F9E" w:rsidRPr="00104E68" w:rsidP="00A77F9E" w14:paraId="22FD76AA" w14:textId="77777777">
      <w:pPr>
        <w:pStyle w:val="Heading12"/>
        <w:ind w:left="284"/>
        <w:rPr>
          <w:color w:val="99B7C4"/>
        </w:rPr>
      </w:pPr>
      <w:r>
        <w:rPr>
          <w:color w:val="99B7C4"/>
        </w:rPr>
        <w:t>6</w:t>
      </w:r>
      <w:r w:rsidRPr="00104E68">
        <w:rPr>
          <w:color w:val="99B7C4"/>
        </w:rPr>
        <w:t xml:space="preserve">.2. </w:t>
      </w:r>
      <w:r>
        <w:rPr>
          <w:color w:val="99B7C4"/>
        </w:rPr>
        <w:t>DISPOSALS</w:t>
      </w:r>
    </w:p>
    <w:p w:rsidR="00A77F9E" w:rsidRPr="00104E68" w:rsidP="00A77F9E" w14:paraId="70BE0B02" w14:textId="77777777">
      <w:pPr>
        <w:pStyle w:val="Heading12"/>
        <w:ind w:left="284"/>
        <w:rPr>
          <w:color w:val="99B7C4"/>
        </w:rPr>
      </w:pPr>
      <w:r>
        <w:rPr>
          <w:color w:val="99B7C4"/>
        </w:rPr>
        <w:t>6</w:t>
      </w:r>
      <w:r w:rsidRPr="00104E68">
        <w:rPr>
          <w:color w:val="99B7C4"/>
        </w:rPr>
        <w:t xml:space="preserve">.3. </w:t>
      </w:r>
      <w:r>
        <w:rPr>
          <w:color w:val="99B7C4"/>
        </w:rPr>
        <w:t>ASSETS HELD FOR SALE</w:t>
      </w:r>
    </w:p>
    <w:p w:rsidR="00A77F9E" w:rsidRPr="00104E68" w:rsidP="00A77F9E" w14:paraId="45B92EDB" w14:textId="77777777">
      <w:pPr>
        <w:pStyle w:val="Heading12"/>
        <w:ind w:left="284"/>
        <w:rPr>
          <w:color w:val="99B7C4"/>
        </w:rPr>
      </w:pPr>
      <w:r>
        <w:rPr>
          <w:color w:val="99B7C4"/>
        </w:rPr>
        <w:t>6</w:t>
      </w:r>
      <w:r w:rsidRPr="00104E68">
        <w:rPr>
          <w:color w:val="99B7C4"/>
        </w:rPr>
        <w:t xml:space="preserve">.4. </w:t>
      </w:r>
      <w:r w:rsidR="003B70EE">
        <w:rPr>
          <w:color w:val="99B7C4"/>
        </w:rPr>
        <w:t>INVESTMENTS IN ASSOCIATES AND JOINT VENTURES</w:t>
      </w:r>
    </w:p>
    <w:p w:rsidR="00A77F9E" w:rsidP="00A77F9E" w14:paraId="6C476D62" w14:textId="77777777">
      <w:pPr>
        <w:pStyle w:val="Heading12"/>
        <w:ind w:left="284"/>
        <w:rPr>
          <w:color w:val="99B7C4"/>
        </w:rPr>
      </w:pPr>
      <w:r>
        <w:rPr>
          <w:color w:val="99B7C4"/>
        </w:rPr>
        <w:t>6</w:t>
      </w:r>
      <w:r w:rsidRPr="00104E68">
        <w:rPr>
          <w:color w:val="99B7C4"/>
        </w:rPr>
        <w:t xml:space="preserve">.5. </w:t>
      </w:r>
      <w:r w:rsidR="003B70EE">
        <w:rPr>
          <w:color w:val="99B7C4"/>
        </w:rPr>
        <w:t>SUBSIDIARIES</w:t>
      </w:r>
    </w:p>
    <w:p w:rsidR="00B66233" w:rsidP="00B66233" w14:paraId="0B3C430A" w14:textId="77777777">
      <w:pPr>
        <w:pStyle w:val="Heading12"/>
        <w:ind w:left="284"/>
        <w:rPr>
          <w:color w:val="99B7C4"/>
        </w:rPr>
      </w:pPr>
      <w:r>
        <w:rPr>
          <w:color w:val="99B7C4"/>
        </w:rPr>
        <w:t>6</w:t>
      </w:r>
      <w:r w:rsidRPr="00104E68">
        <w:rPr>
          <w:color w:val="99B7C4"/>
        </w:rPr>
        <w:t>.</w:t>
      </w:r>
      <w:r>
        <w:rPr>
          <w:color w:val="99B7C4"/>
        </w:rPr>
        <w:t>6</w:t>
      </w:r>
      <w:r w:rsidRPr="00104E68">
        <w:rPr>
          <w:color w:val="99B7C4"/>
        </w:rPr>
        <w:t xml:space="preserve">. </w:t>
      </w:r>
      <w:r>
        <w:rPr>
          <w:color w:val="99B7C4"/>
        </w:rPr>
        <w:t>EXCHANGE RATES</w:t>
      </w:r>
    </w:p>
    <w:p w:rsidR="00A77F9E" w:rsidP="00A77F9E" w14:paraId="21E4829E" w14:textId="77777777">
      <w:pPr>
        <w:pStyle w:val="Bodytext2"/>
      </w:pPr>
      <w:r>
        <w:rPr>
          <w:noProof/>
        </w:rPr>
        <mc:AlternateContent>
          <mc:Choice Requires="wps">
            <w:drawing>
              <wp:anchor distT="0" distB="0" distL="114300" distR="114300" simplePos="0" relativeHeight="251688960" behindDoc="0" locked="0" layoutInCell="1" allowOverlap="1">
                <wp:simplePos x="0" y="0"/>
                <wp:positionH relativeFrom="column">
                  <wp:posOffset>0</wp:posOffset>
                </wp:positionH>
                <wp:positionV relativeFrom="paragraph">
                  <wp:posOffset>71755</wp:posOffset>
                </wp:positionV>
                <wp:extent cx="4680000" cy="0"/>
                <wp:effectExtent l="19050" t="19050" r="25400" b="19050"/>
                <wp:wrapNone/>
                <wp:docPr id="827622894" name="Straight Connector 2"/>
                <wp:cNvGraphicFramePr/>
                <a:graphic xmlns:a="http://schemas.openxmlformats.org/drawingml/2006/main">
                  <a:graphicData uri="http://schemas.microsoft.com/office/word/2010/wordprocessingShape">
                    <wps:wsp xmlns:wps="http://schemas.microsoft.com/office/word/2010/wordprocessingShape">
                      <wps:cNvCnPr/>
                      <wps:spPr>
                        <a:xfrm>
                          <a:off x="0" y="0"/>
                          <a:ext cx="468000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anchor>
            </w:drawing>
          </mc:Choice>
          <mc:Fallback>
            <w:pict>
              <v:line id="Straight Connector 2" o:spid="_x0000_s1044" style="mso-width-percent:0;mso-width-relative:margin;mso-wrap-distance-bottom:0;mso-wrap-distance-left:9pt;mso-wrap-distance-right:9pt;mso-wrap-distance-top:0;position:absolute;v-text-anchor:top;z-index:251687936" from="0,5.65pt" to="368.5pt,5.65pt" fillcolor="this" stroked="t" strokecolor="#99b7c4" strokeweight="2.25pt">
                <v:stroke endcap="round"/>
              </v:line>
            </w:pict>
          </mc:Fallback>
        </mc:AlternateContent>
      </w:r>
    </w:p>
    <w:p w:rsidR="00A77F9E" w:rsidP="00A77F9E" w14:paraId="5673B2C6" w14:textId="77777777">
      <w:pPr>
        <w:pStyle w:val="Bodytext2"/>
        <w:rPr>
          <w:szCs w:val="15"/>
        </w:rPr>
      </w:pPr>
    </w:p>
    <w:p w:rsidR="00A77F9E" w:rsidRPr="00A77F9E" w:rsidP="003B70EE" w14:paraId="2F9E4BCB" w14:textId="77777777">
      <w:pPr>
        <w:pStyle w:val="Bodytext2"/>
      </w:pPr>
    </w:p>
    <w:p w:rsidR="005967F1" w:rsidP="00967DC8" w14:paraId="66CE79DE" w14:textId="77777777">
      <w:pPr>
        <w:pStyle w:val="Heading12"/>
      </w:pPr>
      <w:r>
        <w:t>6.1. ACQUISITIONS</w:t>
      </w:r>
    </w:p>
    <w:tbl>
      <w:tblPr>
        <w:tblStyle w:val="TableGrid0"/>
        <w:tblW w:w="7371" w:type="dxa"/>
        <w:tblInd w:w="5" w:type="dxa"/>
        <w:tblLook w:val="04A0"/>
      </w:tblPr>
      <w:tblGrid>
        <w:gridCol w:w="7371"/>
      </w:tblGrid>
      <w:tr w14:paraId="7B3F2F1A" w14:textId="77777777" w:rsidTr="005967F1">
        <w:tblPrEx>
          <w:tblW w:w="7371" w:type="dxa"/>
          <w:tblInd w:w="5" w:type="dxa"/>
          <w:tblLook w:val="04A0"/>
        </w:tblPrEx>
        <w:tc>
          <w:tcPr>
            <w:tcW w:w="7361" w:type="dxa"/>
            <w:shd w:val="clear" w:color="auto" w:fill="B6C8D1"/>
          </w:tcPr>
          <w:p w:rsidR="005967F1" w:rsidRPr="000024BE" w:rsidP="005967F1" w14:paraId="1A2632A9" w14:textId="77777777">
            <w:pPr>
              <w:pStyle w:val="Heading13"/>
              <w:rPr>
                <w:lang w:val="en-GB"/>
              </w:rPr>
            </w:pPr>
            <w:r w:rsidRPr="000024BE">
              <w:rPr>
                <w:lang w:val="en-GB"/>
              </w:rPr>
              <w:t xml:space="preserve">Accounting </w:t>
            </w:r>
            <w:r w:rsidRPr="000024BE">
              <w:rPr>
                <w:lang w:val="en-GB"/>
              </w:rPr>
              <w:t>principles</w:t>
            </w:r>
          </w:p>
          <w:p w:rsidR="003877A7" w:rsidRPr="000024BE" w:rsidP="003877A7" w14:paraId="46723E48" w14:textId="77777777">
            <w:pPr>
              <w:pStyle w:val="Bodytext2"/>
              <w:rPr>
                <w:lang w:val="en-GB"/>
              </w:rPr>
            </w:pPr>
            <w:r w:rsidRPr="000024BE">
              <w:rPr>
                <w:lang w:val="en-GB"/>
              </w:rPr>
              <w:t>Acquired and established companies are accounted for using the acquisition method. Accordingly, the purchase price and the acquired company’s identifiable assets, liabilities</w:t>
            </w:r>
            <w:r>
              <w:rPr>
                <w:lang w:val="en-GB"/>
              </w:rPr>
              <w:t>,</w:t>
            </w:r>
            <w:r w:rsidRPr="000024BE">
              <w:rPr>
                <w:lang w:val="en-GB"/>
              </w:rPr>
              <w:t xml:space="preserve"> and contingent liabilities are measured at fair value on the date of </w:t>
            </w:r>
            <w:r w:rsidRPr="000024BE">
              <w:rPr>
                <w:lang w:val="en-GB"/>
              </w:rPr>
              <w:t>acquisition. In the acquisition of additional interest, where the Group already has control, the non-controlling interest is measured either at fair value or at the non-controlling interests’ proportionate share of the identifiable net assets. The differen</w:t>
            </w:r>
            <w:r w:rsidRPr="000024BE">
              <w:rPr>
                <w:lang w:val="en-GB"/>
              </w:rPr>
              <w:t>ce between the purchase price, possible equity belonging to the non-controlling interests</w:t>
            </w:r>
            <w:r>
              <w:rPr>
                <w:lang w:val="en-GB"/>
              </w:rPr>
              <w:t>,</w:t>
            </w:r>
            <w:r w:rsidRPr="000024BE">
              <w:rPr>
                <w:lang w:val="en-GB"/>
              </w:rPr>
              <w:t xml:space="preserve"> and the acquired company’s net identifiable assets, liabilities and contingent liabilities measured at fair value</w:t>
            </w:r>
            <w:r>
              <w:rPr>
                <w:lang w:val="en-GB"/>
              </w:rPr>
              <w:t>,</w:t>
            </w:r>
            <w:r w:rsidRPr="000024BE">
              <w:rPr>
                <w:lang w:val="en-GB"/>
              </w:rPr>
              <w:t xml:space="preserve"> is goodwill. Goodwill is tested for impairment at </w:t>
            </w:r>
            <w:r w:rsidRPr="000024BE">
              <w:rPr>
                <w:lang w:val="en-GB"/>
              </w:rPr>
              <w:t xml:space="preserve">least annually. The purchase price includes the consideration paid, measured at fair value. The consideration does not include transaction costs, which are recognised in the statement of income. The transaction costs are expensed in the same </w:t>
            </w:r>
            <w:r>
              <w:rPr>
                <w:lang w:val="en-GB"/>
              </w:rPr>
              <w:t>reporting</w:t>
            </w:r>
            <w:r w:rsidRPr="000024BE">
              <w:rPr>
                <w:lang w:val="en-GB"/>
              </w:rPr>
              <w:t xml:space="preserve"> peri</w:t>
            </w:r>
            <w:r w:rsidRPr="000024BE">
              <w:rPr>
                <w:lang w:val="en-GB"/>
              </w:rPr>
              <w:t>od in which they occur, except th</w:t>
            </w:r>
            <w:r>
              <w:rPr>
                <w:lang w:val="en-GB"/>
              </w:rPr>
              <w:t>os</w:t>
            </w:r>
            <w:r w:rsidRPr="000024BE">
              <w:rPr>
                <w:lang w:val="en-GB"/>
              </w:rPr>
              <w:t>e costs resulting from issued debt or equity instruments.</w:t>
            </w:r>
          </w:p>
          <w:p w:rsidR="003877A7" w:rsidRPr="000024BE" w:rsidP="003877A7" w14:paraId="27CC3589" w14:textId="77777777">
            <w:pPr>
              <w:pStyle w:val="Bodytext2"/>
              <w:rPr>
                <w:lang w:val="en-GB"/>
              </w:rPr>
            </w:pPr>
          </w:p>
          <w:p w:rsidR="005967F1" w:rsidRPr="000024BE" w:rsidP="005967F1" w14:paraId="602E9964" w14:textId="77777777">
            <w:pPr>
              <w:pStyle w:val="Bodytext2"/>
              <w:rPr>
                <w:lang w:val="en-GB"/>
              </w:rPr>
            </w:pPr>
            <w:r w:rsidRPr="000024BE">
              <w:rPr>
                <w:lang w:val="en-GB"/>
              </w:rPr>
              <w:t>In significant business combinations, the Group has used external advis</w:t>
            </w:r>
            <w:r>
              <w:rPr>
                <w:lang w:val="en-GB"/>
              </w:rPr>
              <w:t>o</w:t>
            </w:r>
            <w:r w:rsidRPr="000024BE">
              <w:rPr>
                <w:lang w:val="en-GB"/>
              </w:rPr>
              <w:t>rs when estimating the fair values of property, plant and equipment and intangible assets.</w:t>
            </w:r>
            <w:r w:rsidRPr="000024BE">
              <w:rPr>
                <w:lang w:val="en-GB"/>
              </w:rPr>
              <w:t xml:space="preserve"> For property, plant and equipment, comparisons have been made of the market prices of similar assets, and the depreciation of the acquired assets due to ageing, wear, and other similar factors has been estimated. The fair value measurement of intangible a</w:t>
            </w:r>
            <w:r w:rsidRPr="000024BE">
              <w:rPr>
                <w:lang w:val="en-GB"/>
              </w:rPr>
              <w:t xml:space="preserve">ssets is based on estimates of the future cash flows associated with the assets. The acquired identifiable intangible assets typically </w:t>
            </w:r>
            <w:r>
              <w:rPr>
                <w:lang w:val="en-GB"/>
              </w:rPr>
              <w:t xml:space="preserve">include </w:t>
            </w:r>
            <w:r w:rsidRPr="000024BE">
              <w:rPr>
                <w:lang w:val="en-GB"/>
              </w:rPr>
              <w:t>technology, customer relationships, and trademarks.</w:t>
            </w:r>
          </w:p>
          <w:p w:rsidR="003877A7" w:rsidRPr="000024BE" w:rsidP="005967F1" w14:paraId="76BF7C3F" w14:textId="77777777">
            <w:pPr>
              <w:pStyle w:val="Bodytext2"/>
              <w:rPr>
                <w:lang w:val="en-GB"/>
              </w:rPr>
            </w:pPr>
          </w:p>
          <w:p w:rsidR="002E6E71" w:rsidRPr="000024BE" w:rsidP="002E6E71" w14:paraId="2B0E84CF" w14:textId="77777777">
            <w:pPr>
              <w:pStyle w:val="Bodytext2"/>
              <w:rPr>
                <w:lang w:val="en-GB"/>
              </w:rPr>
            </w:pPr>
            <w:r w:rsidRPr="000024BE">
              <w:rPr>
                <w:lang w:val="en-GB"/>
              </w:rPr>
              <w:t>Any contingent consideration (additional purchase price) rel</w:t>
            </w:r>
            <w:r w:rsidRPr="000024BE">
              <w:rPr>
                <w:lang w:val="en-GB"/>
              </w:rPr>
              <w:t xml:space="preserve">ated to the combination of businesses is measured at fair value on the date of acquisition. It is classified either as a liability or equity. Contingent consideration classified as a liability is measured at fair value on the last day of each </w:t>
            </w:r>
            <w:r>
              <w:rPr>
                <w:lang w:val="en-GB"/>
              </w:rPr>
              <w:t>reporting</w:t>
            </w:r>
            <w:r w:rsidRPr="000024BE">
              <w:rPr>
                <w:lang w:val="en-GB"/>
              </w:rPr>
              <w:t xml:space="preserve"> per</w:t>
            </w:r>
            <w:r w:rsidRPr="000024BE">
              <w:rPr>
                <w:lang w:val="en-GB"/>
              </w:rPr>
              <w:t>iod, and the resulting loss or gain is recognised through the statement of income. Contingent consideration classified as equity is not re</w:t>
            </w:r>
            <w:r>
              <w:rPr>
                <w:lang w:val="en-GB"/>
              </w:rPr>
              <w:t>-</w:t>
            </w:r>
            <w:r w:rsidRPr="000024BE">
              <w:rPr>
                <w:lang w:val="en-GB"/>
              </w:rPr>
              <w:t>measured.</w:t>
            </w:r>
          </w:p>
          <w:p w:rsidR="002E6E71" w:rsidRPr="000024BE" w:rsidP="002E6E71" w14:paraId="6709BFDB" w14:textId="77777777">
            <w:pPr>
              <w:pStyle w:val="Bodytext2"/>
              <w:rPr>
                <w:lang w:val="en-GB"/>
              </w:rPr>
            </w:pPr>
          </w:p>
          <w:p w:rsidR="005967F1" w:rsidRPr="00967DC8" w:rsidP="00982622" w14:paraId="68AE2144" w14:textId="0DD25926">
            <w:pPr>
              <w:pStyle w:val="Bodytext2"/>
              <w:rPr>
                <w:lang w:val="en-GB"/>
              </w:rPr>
            </w:pPr>
            <w:r w:rsidRPr="000024BE">
              <w:rPr>
                <w:lang w:val="en-GB"/>
              </w:rPr>
              <w:t>The acquired subsidiaries are included in the consolidated financial statements from the day the Group has</w:t>
            </w:r>
            <w:r w:rsidRPr="000024BE">
              <w:rPr>
                <w:lang w:val="en-GB"/>
              </w:rPr>
              <w:t xml:space="preserve"> control.</w:t>
            </w:r>
          </w:p>
        </w:tc>
      </w:tr>
    </w:tbl>
    <w:p w:rsidR="00A46AD9" w:rsidP="00982622" w14:paraId="41FEECE2" w14:textId="4DFE1FEA">
      <w:pPr>
        <w:pStyle w:val="Bodytext2"/>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0EF686AE" w14:textId="77777777" w:rsidTr="00982622">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982622" w:rsidRPr="00967DC8" w:rsidP="00982622" w14:paraId="17A863AF" w14:textId="77777777">
            <w:pPr>
              <w:pStyle w:val="Heading13"/>
              <w:rPr>
                <w:lang w:val="en-GB"/>
              </w:rPr>
            </w:pPr>
            <w:r w:rsidRPr="000024BE">
              <w:rPr>
                <w:lang w:val="en-GB"/>
              </w:rPr>
              <w:t>Accounting estimates and judgements</w:t>
            </w:r>
          </w:p>
          <w:p w:rsidR="00982622" w:rsidP="00982622" w14:paraId="3D3AAC73" w14:textId="26B5274E">
            <w:pPr>
              <w:pStyle w:val="Bodytext2"/>
            </w:pPr>
            <w:r w:rsidRPr="00967DC8">
              <w:rPr>
                <w:lang w:val="en-GB"/>
              </w:rPr>
              <w:t>Accounting for the business combinations may require estimates of the fair value of acquired assets and the expected amount of realised contingent consideration</w:t>
            </w:r>
            <w:r>
              <w:rPr>
                <w:lang w:val="en-GB"/>
              </w:rPr>
              <w:t>.</w:t>
            </w:r>
          </w:p>
        </w:tc>
      </w:tr>
    </w:tbl>
    <w:p w:rsidR="00982622" w:rsidRPr="00982622" w:rsidP="00982622" w14:paraId="784A1B16" w14:textId="77777777">
      <w:pPr>
        <w:pStyle w:val="Bodytext2"/>
      </w:pPr>
    </w:p>
    <w:p w:rsidR="00A46AD9" w:rsidRPr="005967F1" w:rsidP="00A46AD9" w14:paraId="6BD27E6E" w14:textId="77777777">
      <w:pPr>
        <w:pStyle w:val="Heading13"/>
      </w:pPr>
      <w:r w:rsidRPr="005967F1">
        <w:t>202</w:t>
      </w:r>
      <w:r>
        <w:t>1</w:t>
      </w:r>
    </w:p>
    <w:p w:rsidR="00A46AD9" w:rsidRPr="005967F1" w:rsidP="00A46AD9" w14:paraId="0549241F" w14:textId="77777777">
      <w:pPr>
        <w:pStyle w:val="Bodytext2"/>
      </w:pPr>
      <w:r>
        <w:t xml:space="preserve">In 2021, there were no </w:t>
      </w:r>
      <w:r>
        <w:t>acquisitions.</w:t>
      </w:r>
    </w:p>
    <w:p w:rsidR="00A46AD9" w:rsidP="005967F1" w14:paraId="61FB6AF0" w14:textId="77777777">
      <w:pPr>
        <w:pStyle w:val="Heading13"/>
      </w:pPr>
    </w:p>
    <w:p w:rsidR="005967F1" w:rsidRPr="005967F1" w:rsidP="005967F1" w14:paraId="5EED88E4" w14:textId="77777777">
      <w:pPr>
        <w:pStyle w:val="Heading13"/>
      </w:pPr>
      <w:r w:rsidRPr="005967F1">
        <w:t>2020</w:t>
      </w:r>
    </w:p>
    <w:p w:rsidR="005967F1" w:rsidRPr="00A46AD9" w:rsidP="005967F1" w14:paraId="59A97E6D" w14:textId="77777777">
      <w:pPr>
        <w:pStyle w:val="Bodytext2"/>
      </w:pPr>
      <w:r>
        <w:t>In 2020, there were no acquisitions.</w:t>
      </w:r>
    </w:p>
    <w:p/>
    <w:p w:rsidR="00C82F26" w:rsidP="00C82F26" w14:paraId="55EAA7FC" w14:textId="77777777">
      <w:pPr>
        <w:pStyle w:val="Heading12"/>
      </w:pPr>
      <w:bookmarkStart w:id="1496" w:name="RG_MARKER_7315"/>
      <w:r>
        <w:t>6.2. DISPOSALS</w:t>
      </w:r>
      <w:bookmarkEnd w:id="1496"/>
    </w:p>
    <w:tbl>
      <w:tblPr>
        <w:tblStyle w:val="TableGrid"/>
        <w:tblW w:w="7371" w:type="dxa"/>
        <w:tblLook w:val="04A0"/>
      </w:tblPr>
      <w:tblGrid>
        <w:gridCol w:w="7371"/>
      </w:tblGrid>
      <w:tr w14:paraId="75606A62" w14:textId="77777777" w:rsidTr="00C82F26">
        <w:tblPrEx>
          <w:tblW w:w="7371" w:type="dxa"/>
          <w:tblLook w:val="04A0"/>
        </w:tblPrEx>
        <w:tc>
          <w:tcPr>
            <w:tcW w:w="7371" w:type="dxa"/>
            <w:tcBorders>
              <w:top w:val="nil"/>
              <w:left w:val="nil"/>
              <w:bottom w:val="nil"/>
              <w:right w:val="nil"/>
            </w:tcBorders>
            <w:shd w:val="clear" w:color="auto" w:fill="B6C8D1"/>
            <w:hideMark/>
          </w:tcPr>
          <w:p w:rsidR="00C82F26" w:rsidRPr="00801273" w:rsidP="00C82F26" w14:paraId="263B64A3" w14:textId="77777777">
            <w:pPr>
              <w:pStyle w:val="Heading13"/>
              <w:rPr>
                <w:lang w:val="en-GB"/>
              </w:rPr>
            </w:pPr>
            <w:r w:rsidRPr="00E753BC">
              <w:rPr>
                <w:lang w:val="en-GB"/>
              </w:rPr>
              <w:t>Accounting principles</w:t>
            </w:r>
          </w:p>
          <w:p w:rsidR="00C82F26" w:rsidRPr="00801273" w:rsidP="00C82F26" w14:paraId="4F907EE1" w14:textId="77777777">
            <w:pPr>
              <w:pStyle w:val="Bodytext2"/>
              <w:rPr>
                <w:color w:val="0F172B"/>
                <w:lang w:val="en-GB"/>
              </w:rPr>
            </w:pPr>
            <w:r w:rsidRPr="00801273">
              <w:rPr>
                <w:color w:val="0F172B"/>
                <w:lang w:val="en-GB"/>
              </w:rPr>
              <w:t>The disposed subsidiaries are included in the consolidated financial statements until the control ends.</w:t>
            </w:r>
          </w:p>
        </w:tc>
      </w:tr>
    </w:tbl>
    <w:p w:rsidR="00C82F26" w:rsidP="00C82F26" w14:paraId="0EDE19FB" w14:textId="77777777">
      <w:pPr>
        <w:pStyle w:val="Bodytext2"/>
        <w:rPr>
          <w:color w:val="0F172B"/>
        </w:rPr>
      </w:pPr>
    </w:p>
    <w:p w:rsidR="0022419E" w:rsidRPr="0022419E" w:rsidP="0022419E" w14:paraId="3917FCAA" w14:textId="30668B41">
      <w:pPr>
        <w:pStyle w:val="Heading13"/>
      </w:pPr>
      <w:r w:rsidRPr="00E753BC">
        <w:t>202</w:t>
      </w:r>
      <w:r>
        <w:t>1</w:t>
      </w:r>
    </w:p>
    <w:p w:rsidR="0022419E" w:rsidP="0022419E" w14:paraId="1732936E" w14:textId="77777777">
      <w:pPr>
        <w:pStyle w:val="Bodytext2"/>
        <w:rPr>
          <w:color w:val="0F172B"/>
        </w:rPr>
      </w:pPr>
      <w:r w:rsidRPr="0022419E">
        <w:rPr>
          <w:color w:val="0F172B"/>
        </w:rPr>
        <w:t xml:space="preserve">In April 2021, Wärtsilä divested 100% of the shares in its Entertainment Systems business unit, </w:t>
      </w:r>
      <w:r w:rsidRPr="0022419E">
        <w:rPr>
          <w:color w:val="0F172B"/>
        </w:rPr>
        <w:t>Wärtsilä Funa GmbH, to Videlio SA, a French public limited company. The divestment was announced in January 2021.</w:t>
      </w:r>
    </w:p>
    <w:p w:rsidR="0022419E" w:rsidRPr="0022419E" w:rsidP="0022419E" w14:paraId="0656590C" w14:textId="68F91C98">
      <w:pPr>
        <w:pStyle w:val="Bodytext2"/>
        <w:rPr>
          <w:color w:val="0F172B"/>
        </w:rPr>
      </w:pPr>
    </w:p>
    <w:p w:rsidR="0022419E" w:rsidRPr="0022419E" w:rsidP="0022419E" w14:paraId="380B048E" w14:textId="08F72DE9">
      <w:pPr>
        <w:pStyle w:val="Bodytext2"/>
        <w:rPr>
          <w:color w:val="0F172B"/>
        </w:rPr>
      </w:pPr>
      <w:r w:rsidRPr="0022419E">
        <w:rPr>
          <w:color w:val="0F172B"/>
        </w:rPr>
        <w:t>Entertainment Systems is engaged in the field of design, fabrication, engineering and integration of entertainment systems, illumination, lig</w:t>
      </w:r>
      <w:r w:rsidRPr="0022419E">
        <w:rPr>
          <w:color w:val="0F172B"/>
        </w:rPr>
        <w:t>ht control, cabin control, broadcast and digital audio distribution, and announcement systems for cruise vessels and entertainment parks. The annual revenues were approximately EUR 50 million in 2020. The impact of the divestment on the profit for the fina</w:t>
      </w:r>
      <w:r w:rsidRPr="0022419E">
        <w:rPr>
          <w:color w:val="0F172B"/>
        </w:rPr>
        <w:t>ncial period is not significant.</w:t>
      </w:r>
    </w:p>
    <w:p w:rsidR="0022419E" w:rsidP="0022419E" w14:paraId="053E693B" w14:textId="77777777">
      <w:pPr>
        <w:pStyle w:val="Bodytext2"/>
        <w:rPr>
          <w:color w:val="0F172B"/>
        </w:rPr>
      </w:pPr>
    </w:p>
    <w:p w:rsidR="0022419E" w:rsidRPr="0022419E" w:rsidP="0022419E" w14:paraId="277057D9" w14:textId="0DA8E870">
      <w:pPr>
        <w:pStyle w:val="Bodytext2"/>
        <w:rPr>
          <w:color w:val="0F172B"/>
        </w:rPr>
      </w:pPr>
      <w:r w:rsidRPr="0022419E">
        <w:rPr>
          <w:color w:val="0F172B"/>
        </w:rPr>
        <w:t>In July 2021, Wärtsilä divested 100% of the shares in Wärtsilä EUROATLAS GmbH to Mimir, a global investment firm based in Sweden. Wärtsilä EUROATLAS belonged to Special Products business unit, and the divestment was annou</w:t>
      </w:r>
      <w:r w:rsidRPr="0022419E">
        <w:rPr>
          <w:color w:val="0F172B"/>
        </w:rPr>
        <w:t>nced in March 2021.</w:t>
      </w:r>
    </w:p>
    <w:p w:rsidR="0022419E" w:rsidP="0022419E" w14:paraId="2F6E5383" w14:textId="77777777">
      <w:pPr>
        <w:pStyle w:val="Bodytext2"/>
        <w:rPr>
          <w:color w:val="0F172B"/>
        </w:rPr>
      </w:pPr>
    </w:p>
    <w:p w:rsidR="0022419E" w:rsidRPr="0022419E" w:rsidP="0022419E" w14:paraId="0342187C" w14:textId="23E9CB49">
      <w:pPr>
        <w:pStyle w:val="Bodytext2"/>
        <w:rPr>
          <w:color w:val="0F172B"/>
        </w:rPr>
      </w:pPr>
      <w:r w:rsidRPr="0022419E">
        <w:rPr>
          <w:color w:val="0F172B"/>
        </w:rPr>
        <w:t>Wärtsilä EUROATLAS is providing its global customer base tailor-made solutions for high performance power conversion in naval, aviation and mobile land-based applications requiring highest reliability and power density and leading-edg</w:t>
      </w:r>
      <w:r w:rsidRPr="0022419E">
        <w:rPr>
          <w:color w:val="0F172B"/>
        </w:rPr>
        <w:t>e energy efficiency under harsh environmental conditions. Products and services include original design, retrofits, upgrades, maintenance, spare parts, and education. The annual revenues were approximately EUR 10 million in 2020. The impact of the classifi</w:t>
      </w:r>
      <w:r w:rsidRPr="0022419E">
        <w:rPr>
          <w:color w:val="0F172B"/>
        </w:rPr>
        <w:t>cation as assets held for sale on the profit for the financial period 2020 was approximately EUR -6 million. The impact of the divestment on the profit for the financial period 2021 is EUR -2 million.</w:t>
      </w:r>
    </w:p>
    <w:p w:rsidR="0022419E" w:rsidP="0022419E" w14:paraId="65740EBE" w14:textId="77777777">
      <w:pPr>
        <w:pStyle w:val="Bodytext2"/>
        <w:rPr>
          <w:color w:val="0F172B"/>
        </w:rPr>
      </w:pPr>
    </w:p>
    <w:p w:rsidR="0022419E" w:rsidRPr="0022419E" w:rsidP="0022419E" w14:paraId="6D66147B" w14:textId="36869E4F">
      <w:pPr>
        <w:pStyle w:val="Bodytext2"/>
        <w:rPr>
          <w:color w:val="0F172B"/>
        </w:rPr>
      </w:pPr>
      <w:r w:rsidRPr="0022419E">
        <w:rPr>
          <w:color w:val="0F172B"/>
        </w:rPr>
        <w:t>All disposed business units belonged to Portfolio Bus</w:t>
      </w:r>
      <w:r w:rsidRPr="0022419E">
        <w:rPr>
          <w:color w:val="0F172B"/>
        </w:rPr>
        <w:t>iness.</w:t>
      </w:r>
    </w:p>
    <w:p w:rsidR="0022419E" w:rsidP="00C82F26" w14:paraId="7B48FEE1" w14:textId="77777777">
      <w:pPr>
        <w:pStyle w:val="Heading13"/>
      </w:pPr>
    </w:p>
    <w:p w:rsidR="00C82F26" w:rsidRPr="00E753BC" w:rsidP="00C82F26" w14:paraId="799766B5" w14:textId="210C98A7">
      <w:pPr>
        <w:pStyle w:val="Heading13"/>
      </w:pPr>
      <w:r w:rsidRPr="00E753BC">
        <w:t>2020</w:t>
      </w:r>
    </w:p>
    <w:p w:rsidR="00D122BE" w:rsidP="00D122BE" w14:paraId="52D22AC7" w14:textId="63C0068F">
      <w:pPr>
        <w:pStyle w:val="Bodytext2"/>
        <w:rPr>
          <w:color w:val="0F172B"/>
        </w:rPr>
      </w:pPr>
      <w:r w:rsidRPr="00D122BE">
        <w:rPr>
          <w:color w:val="0F172B"/>
        </w:rPr>
        <w:t xml:space="preserve">In October 2020, Wärtsilä divested the shares in Wärtsilä JOVYATLAS GmbH to Jacob Waitz Industrie GmbH. </w:t>
      </w:r>
      <w:r>
        <w:rPr>
          <w:color w:val="0F172B"/>
        </w:rPr>
        <w:t>Wärtsilä JOVYATLAS</w:t>
      </w:r>
      <w:r w:rsidRPr="00D122BE">
        <w:rPr>
          <w:color w:val="0F172B"/>
        </w:rPr>
        <w:t xml:space="preserve"> has been manufacturing UPS systems, rectifiers, power inverters, frequency transformers and resistors</w:t>
      </w:r>
      <w:r>
        <w:rPr>
          <w:color w:val="0F172B"/>
        </w:rPr>
        <w:t xml:space="preserve"> </w:t>
      </w:r>
      <w:r w:rsidRPr="00D122BE">
        <w:rPr>
          <w:color w:val="0F172B"/>
        </w:rPr>
        <w:t>with related services for many industries already for seven decades. In 2019, its net sales were EUR 20 million. The</w:t>
      </w:r>
      <w:r>
        <w:rPr>
          <w:color w:val="0F172B"/>
        </w:rPr>
        <w:t xml:space="preserve"> </w:t>
      </w:r>
      <w:r w:rsidRPr="00D122BE">
        <w:rPr>
          <w:color w:val="0F172B"/>
        </w:rPr>
        <w:t>impact of the divestment on the prof</w:t>
      </w:r>
      <w:r w:rsidRPr="00D122BE">
        <w:rPr>
          <w:color w:val="0F172B"/>
        </w:rPr>
        <w:t>it for the financial period is approximately EUR -6 million.</w:t>
      </w:r>
    </w:p>
    <w:p w:rsidR="00D122BE" w:rsidRPr="00D122BE" w:rsidP="00D122BE" w14:paraId="61FD3C6D" w14:textId="77777777">
      <w:pPr>
        <w:pStyle w:val="Bodytext2"/>
        <w:rPr>
          <w:color w:val="0F172B"/>
        </w:rPr>
      </w:pPr>
    </w:p>
    <w:p w:rsidR="00D122BE" w:rsidP="00D122BE" w14:paraId="6AB19493" w14:textId="111F5E2A">
      <w:pPr>
        <w:pStyle w:val="Bodytext2"/>
        <w:rPr>
          <w:color w:val="0F172B"/>
        </w:rPr>
      </w:pPr>
      <w:r w:rsidRPr="00D122BE">
        <w:rPr>
          <w:color w:val="0F172B"/>
        </w:rPr>
        <w:t>Also</w:t>
      </w:r>
      <w:r>
        <w:rPr>
          <w:color w:val="0F172B"/>
        </w:rPr>
        <w:t>,</w:t>
      </w:r>
      <w:r w:rsidRPr="00D122BE">
        <w:rPr>
          <w:color w:val="0F172B"/>
        </w:rPr>
        <w:t xml:space="preserve"> in October 2020, Wärtsilä divested the shares in Wärtsilä Valves Ltd to an affiliate of Evergreen Capital L.P.</w:t>
      </w:r>
      <w:r>
        <w:rPr>
          <w:color w:val="0F172B"/>
        </w:rPr>
        <w:t xml:space="preserve"> Wärtsilä Valves</w:t>
      </w:r>
      <w:r w:rsidRPr="00E753BC">
        <w:rPr>
          <w:color w:val="0F172B"/>
        </w:rPr>
        <w:t xml:space="preserve">’ </w:t>
      </w:r>
      <w:r w:rsidRPr="00D122BE">
        <w:rPr>
          <w:color w:val="0F172B"/>
        </w:rPr>
        <w:t xml:space="preserve">activities included </w:t>
      </w:r>
      <w:r>
        <w:rPr>
          <w:color w:val="0F172B"/>
        </w:rPr>
        <w:t xml:space="preserve">the </w:t>
      </w:r>
      <w:r w:rsidRPr="00D122BE">
        <w:rPr>
          <w:color w:val="0F172B"/>
        </w:rPr>
        <w:t xml:space="preserve">engineering, assembly, </w:t>
      </w:r>
      <w:r w:rsidRPr="00D122BE">
        <w:rPr>
          <w:color w:val="0F172B"/>
        </w:rPr>
        <w:t>testing, sales</w:t>
      </w:r>
      <w:r>
        <w:rPr>
          <w:color w:val="0F172B"/>
        </w:rPr>
        <w:t>,</w:t>
      </w:r>
      <w:r w:rsidRPr="00D122BE">
        <w:rPr>
          <w:color w:val="0F172B"/>
        </w:rPr>
        <w:t xml:space="preserve"> and delivery of nickel aluminium bronze</w:t>
      </w:r>
      <w:r>
        <w:rPr>
          <w:color w:val="0F172B"/>
        </w:rPr>
        <w:t xml:space="preserve"> </w:t>
      </w:r>
      <w:r w:rsidRPr="00D122BE">
        <w:rPr>
          <w:color w:val="0F172B"/>
        </w:rPr>
        <w:t>(NAB) and duplex valves for marine, oil &amp; gas and energy markets. It also offers applications for Valves’ products,</w:t>
      </w:r>
      <w:r>
        <w:rPr>
          <w:color w:val="0F172B"/>
        </w:rPr>
        <w:t xml:space="preserve"> </w:t>
      </w:r>
      <w:r w:rsidRPr="00D122BE">
        <w:rPr>
          <w:color w:val="0F172B"/>
        </w:rPr>
        <w:t>including</w:t>
      </w:r>
      <w:r>
        <w:rPr>
          <w:color w:val="0F172B"/>
        </w:rPr>
        <w:t>, for example,</w:t>
      </w:r>
      <w:r w:rsidRPr="00D122BE">
        <w:rPr>
          <w:color w:val="0F172B"/>
        </w:rPr>
        <w:t xml:space="preserve"> FPSO, petrochemical facilities, power generation, LNG, naval</w:t>
      </w:r>
      <w:r w:rsidRPr="00D122BE">
        <w:rPr>
          <w:color w:val="0F172B"/>
        </w:rPr>
        <w:t xml:space="preserve"> marine, marine services, waste water</w:t>
      </w:r>
      <w:r>
        <w:rPr>
          <w:color w:val="0F172B"/>
        </w:rPr>
        <w:t xml:space="preserve"> </w:t>
      </w:r>
      <w:r w:rsidRPr="00D122BE">
        <w:rPr>
          <w:color w:val="0F172B"/>
        </w:rPr>
        <w:t xml:space="preserve">treatment plants and pipelines. The annual net sales were approximately </w:t>
      </w:r>
      <w:r w:rsidRPr="00D122BE">
        <w:rPr>
          <w:color w:val="0F172B"/>
        </w:rPr>
        <w:t>EUR 15 million in 2019. The impact of the</w:t>
      </w:r>
      <w:r>
        <w:rPr>
          <w:color w:val="0F172B"/>
        </w:rPr>
        <w:t xml:space="preserve"> </w:t>
      </w:r>
      <w:r w:rsidRPr="00D122BE">
        <w:rPr>
          <w:color w:val="0F172B"/>
        </w:rPr>
        <w:t>divestment on the profit for the financial period is approximately EUR -10 million.</w:t>
      </w:r>
    </w:p>
    <w:p w:rsidR="00D122BE" w:rsidRPr="00D122BE" w:rsidP="00D122BE" w14:paraId="3D814739" w14:textId="77777777">
      <w:pPr>
        <w:pStyle w:val="Bodytext2"/>
        <w:rPr>
          <w:color w:val="0F172B"/>
        </w:rPr>
      </w:pPr>
    </w:p>
    <w:p w:rsidR="00D122BE" w:rsidP="00D122BE" w14:paraId="3369BC1E" w14:textId="33BAC45D">
      <w:pPr>
        <w:pStyle w:val="Bodytext2"/>
        <w:rPr>
          <w:color w:val="0F172B"/>
        </w:rPr>
      </w:pPr>
      <w:r w:rsidRPr="00D122BE">
        <w:rPr>
          <w:color w:val="0F172B"/>
        </w:rPr>
        <w:t>In December 2020, W</w:t>
      </w:r>
      <w:r w:rsidRPr="00D122BE">
        <w:rPr>
          <w:color w:val="0F172B"/>
        </w:rPr>
        <w:t>ärtsilä finali</w:t>
      </w:r>
      <w:r>
        <w:rPr>
          <w:color w:val="0F172B"/>
        </w:rPr>
        <w:t>s</w:t>
      </w:r>
      <w:r w:rsidRPr="00D122BE">
        <w:rPr>
          <w:color w:val="0F172B"/>
        </w:rPr>
        <w:t>ed the divestment of shares in Wärtsilä ELAC Nautik GmbH (ELAC Nautik) to</w:t>
      </w:r>
      <w:r>
        <w:rPr>
          <w:color w:val="0F172B"/>
        </w:rPr>
        <w:t xml:space="preserve"> </w:t>
      </w:r>
      <w:r w:rsidRPr="00D122BE">
        <w:rPr>
          <w:color w:val="0F172B"/>
        </w:rPr>
        <w:t>Cohort plc. The divestment was originally announced in December 2019. ELAC Nautik</w:t>
      </w:r>
      <w:r>
        <w:rPr>
          <w:color w:val="0F172B"/>
        </w:rPr>
        <w:t>’s</w:t>
      </w:r>
      <w:r w:rsidRPr="00D122BE">
        <w:rPr>
          <w:color w:val="0F172B"/>
        </w:rPr>
        <w:t xml:space="preserve"> main market focus was</w:t>
      </w:r>
      <w:r>
        <w:rPr>
          <w:color w:val="0F172B"/>
        </w:rPr>
        <w:t xml:space="preserve"> </w:t>
      </w:r>
      <w:r w:rsidRPr="00D122BE">
        <w:rPr>
          <w:color w:val="0F172B"/>
        </w:rPr>
        <w:t>hydroacoustic products, including sonars, underwater communic</w:t>
      </w:r>
      <w:r w:rsidRPr="00D122BE">
        <w:rPr>
          <w:color w:val="0F172B"/>
        </w:rPr>
        <w:t>ation systems, and echo systems for small and</w:t>
      </w:r>
      <w:r>
        <w:rPr>
          <w:color w:val="0F172B"/>
        </w:rPr>
        <w:t xml:space="preserve"> </w:t>
      </w:r>
      <w:r w:rsidRPr="00D122BE">
        <w:rPr>
          <w:color w:val="0F172B"/>
        </w:rPr>
        <w:t>medium sized military submarines. The annual net sales were approximately EUR 21 million in 2019. The impact of</w:t>
      </w:r>
      <w:r>
        <w:rPr>
          <w:color w:val="0F172B"/>
        </w:rPr>
        <w:t xml:space="preserve"> </w:t>
      </w:r>
      <w:r w:rsidRPr="00D122BE">
        <w:rPr>
          <w:color w:val="0F172B"/>
        </w:rPr>
        <w:t>the divestment on the profit for the financial period is not significant.</w:t>
      </w:r>
    </w:p>
    <w:p w:rsidR="00D122BE" w:rsidRPr="00D122BE" w:rsidP="00D122BE" w14:paraId="248E3F51" w14:textId="77777777">
      <w:pPr>
        <w:pStyle w:val="Bodytext2"/>
        <w:rPr>
          <w:color w:val="0F172B"/>
        </w:rPr>
      </w:pPr>
    </w:p>
    <w:p w:rsidR="00C82F26" w:rsidRPr="00C82F26" w:rsidP="00C82F26" w14:paraId="4A137C6F" w14:textId="55609A82">
      <w:pPr>
        <w:pStyle w:val="Bodytext2"/>
        <w:rPr>
          <w:color w:val="0F172B"/>
        </w:rPr>
      </w:pPr>
      <w:r w:rsidRPr="00D122BE">
        <w:rPr>
          <w:color w:val="0F172B"/>
        </w:rPr>
        <w:t>All businesses disposed</w:t>
      </w:r>
      <w:r w:rsidRPr="00D122BE">
        <w:rPr>
          <w:color w:val="0F172B"/>
        </w:rPr>
        <w:t xml:space="preserve"> belonged to Portfolio Business.</w:t>
      </w:r>
    </w:p>
    <w:p/>
    <w:p w:rsidR="00616C46" w:rsidRPr="005135BC" w:rsidP="00616C46" w14:paraId="303D34A7" w14:textId="77777777">
      <w:pPr>
        <w:pStyle w:val="Heading12"/>
      </w:pPr>
      <w:bookmarkStart w:id="1497" w:name="RG_MARKER_7316"/>
      <w:r w:rsidRPr="005135BC">
        <w:t>6.3. ASSETS HELD FOR SALE</w:t>
      </w:r>
      <w:bookmarkEnd w:id="1497"/>
    </w:p>
    <w:tbl>
      <w:tblPr>
        <w:tblStyle w:val="TableGrid"/>
        <w:tblW w:w="7371" w:type="dxa"/>
        <w:tblLook w:val="04A0"/>
      </w:tblPr>
      <w:tblGrid>
        <w:gridCol w:w="7371"/>
      </w:tblGrid>
      <w:tr w14:paraId="5FAB1DBF" w14:textId="77777777" w:rsidTr="00616C46">
        <w:tblPrEx>
          <w:tblW w:w="7371" w:type="dxa"/>
          <w:tblLook w:val="04A0"/>
        </w:tblPrEx>
        <w:tc>
          <w:tcPr>
            <w:tcW w:w="7371" w:type="dxa"/>
            <w:tcBorders>
              <w:top w:val="nil"/>
              <w:left w:val="nil"/>
              <w:bottom w:val="nil"/>
              <w:right w:val="nil"/>
            </w:tcBorders>
            <w:shd w:val="clear" w:color="auto" w:fill="B6C8D1"/>
          </w:tcPr>
          <w:p w:rsidR="00616C46" w:rsidRPr="005135BC" w:rsidP="00616C46" w14:paraId="3719C628" w14:textId="77777777">
            <w:pPr>
              <w:pStyle w:val="Heading13"/>
              <w:rPr>
                <w:lang w:val="en-GB"/>
              </w:rPr>
            </w:pPr>
            <w:r w:rsidRPr="005135BC">
              <w:rPr>
                <w:lang w:val="en-GB"/>
              </w:rPr>
              <w:t>Accounting principles</w:t>
            </w:r>
          </w:p>
          <w:p w:rsidR="0008436F" w:rsidRPr="0008436F" w:rsidP="00616C46" w14:paraId="1E05B9D6" w14:textId="090E640E">
            <w:pPr>
              <w:pStyle w:val="Bodytext2"/>
              <w:rPr>
                <w:color w:val="0F172B"/>
                <w:lang w:val="en-GB"/>
              </w:rPr>
            </w:pPr>
            <w:r w:rsidRPr="005135BC">
              <w:rPr>
                <w:color w:val="0F172B"/>
                <w:lang w:val="en-GB"/>
              </w:rPr>
              <w:t xml:space="preserve">Non-current assets and assets and liabilities related to discontinued operations are classified as held for sale if their carrying amounts are expected to be recovered primarily through sale rather than through continuing use. </w:t>
            </w:r>
            <w:r w:rsidRPr="0008436F">
              <w:rPr>
                <w:color w:val="0F172B"/>
                <w:lang w:val="en-GB"/>
              </w:rPr>
              <w:t>Classification as held for sa</w:t>
            </w:r>
            <w:r w:rsidRPr="0008436F">
              <w:rPr>
                <w:color w:val="0F172B"/>
                <w:lang w:val="en-GB"/>
              </w:rPr>
              <w:t>le requires that the asset (or disposal group) must be available for immediate sale in its present condition subject only to terms that are usual and customary for sales of such assets (or disposal groups) and its sale must be highly probable.</w:t>
            </w:r>
          </w:p>
          <w:p w:rsidR="00616C46" w:rsidRPr="005135BC" w:rsidP="00616C46" w14:paraId="62E886AC" w14:textId="77777777">
            <w:pPr>
              <w:pStyle w:val="Bodytext2"/>
              <w:rPr>
                <w:color w:val="0F172B"/>
                <w:lang w:val="en-GB"/>
              </w:rPr>
            </w:pPr>
          </w:p>
          <w:p w:rsidR="002F2D46" w:rsidRPr="005135BC" w:rsidP="002F2D46" w14:paraId="0D836CD3" w14:textId="2DF81D17">
            <w:pPr>
              <w:pStyle w:val="Bodytext2"/>
              <w:rPr>
                <w:color w:val="0F172B"/>
                <w:lang w:val="en-GB"/>
              </w:rPr>
            </w:pPr>
            <w:r w:rsidRPr="005135BC">
              <w:rPr>
                <w:color w:val="0F172B"/>
                <w:lang w:val="en-GB"/>
              </w:rPr>
              <w:t>Prior to cl</w:t>
            </w:r>
            <w:r w:rsidRPr="005135BC">
              <w:rPr>
                <w:color w:val="0F172B"/>
                <w:lang w:val="en-GB"/>
              </w:rPr>
              <w:t>assification as held for sale, the assets or assets and liabilities related to a disposal group in question are measured according to the respective IFRS standards. From the date of classification, non-current assets held for sale are measured at the lower</w:t>
            </w:r>
            <w:r w:rsidRPr="005135BC">
              <w:rPr>
                <w:color w:val="0F172B"/>
                <w:lang w:val="en-GB"/>
              </w:rPr>
              <w:t xml:space="preserve"> of the carrying amount and the fair value less costs to sell, and the recognition of depreciation and amortisation is discontinued.</w:t>
            </w:r>
          </w:p>
          <w:p w:rsidR="002F2D46" w:rsidRPr="005135BC" w:rsidP="002F2D46" w14:paraId="241E0024" w14:textId="77777777">
            <w:pPr>
              <w:pStyle w:val="Bodytext2"/>
              <w:rPr>
                <w:color w:val="0F172B"/>
                <w:lang w:val="en-GB"/>
              </w:rPr>
            </w:pPr>
          </w:p>
          <w:p w:rsidR="00616C46" w:rsidRPr="005135BC" w:rsidP="00616C46" w14:paraId="439FAC8B" w14:textId="76D914EE">
            <w:pPr>
              <w:pStyle w:val="Bodytext2"/>
              <w:rPr>
                <w:color w:val="0F172B"/>
                <w:lang w:val="en-GB"/>
              </w:rPr>
            </w:pPr>
            <w:r w:rsidRPr="005135BC">
              <w:rPr>
                <w:color w:val="0F172B"/>
                <w:lang w:val="en-GB"/>
              </w:rPr>
              <w:t>Non-current assets held for sale are presented in the statement of financial position separately from other items. The com</w:t>
            </w:r>
            <w:r w:rsidRPr="005135BC">
              <w:rPr>
                <w:color w:val="0F172B"/>
                <w:lang w:val="en-GB"/>
              </w:rPr>
              <w:t>parison figures for the statement of financial position are not restated.</w:t>
            </w:r>
          </w:p>
        </w:tc>
      </w:tr>
    </w:tbl>
    <w:p w:rsidR="00616C46" w:rsidRPr="005135BC" w:rsidP="00616C46" w14:paraId="42A10CA4" w14:textId="2280B970">
      <w:pPr>
        <w:pStyle w:val="Bodytext2"/>
        <w:rPr>
          <w:color w:val="0F172B"/>
        </w:rPr>
      </w:pPr>
    </w:p>
    <w:p w:rsidR="00B23664" w:rsidRPr="005135BC" w:rsidP="00B23664" w14:paraId="3881F43B" w14:textId="2706A91E">
      <w:pPr>
        <w:pStyle w:val="Heading13"/>
      </w:pPr>
      <w:r w:rsidRPr="005135BC">
        <w:t>202</w:t>
      </w:r>
      <w:r>
        <w:t>1</w:t>
      </w:r>
    </w:p>
    <w:p w:rsidR="00065AAA" w:rsidP="00065AAA" w14:paraId="67B72ACA" w14:textId="35F05DEC">
      <w:pPr>
        <w:pStyle w:val="Bodytext2"/>
      </w:pPr>
      <w:r>
        <w:t>Wärtsilä has classified Tank Control Systems business unit and Delivery Centre Santander as assets held for sale. Tank Control Systems has been classified as assets held for s</w:t>
      </w:r>
      <w:r>
        <w:t>ale since the second quarter of 2020 and Delivery Centre Santander since the second quarter of 2021.</w:t>
      </w:r>
    </w:p>
    <w:p w:rsidR="00065AAA" w:rsidP="00065AAA" w14:paraId="63FFA1C4" w14:textId="77777777">
      <w:pPr>
        <w:pStyle w:val="Bodytext2"/>
      </w:pPr>
    </w:p>
    <w:p w:rsidR="00065AAA" w:rsidP="00065AAA" w14:paraId="47BBFE57" w14:textId="614FF987">
      <w:pPr>
        <w:pStyle w:val="Bodytext2"/>
      </w:pPr>
      <w:r>
        <w:t xml:space="preserve">In September 2021, Wärtsilä announced the divestment of Tank Control Systems business unit to </w:t>
      </w:r>
      <w:r>
        <w:t>Svanehøj</w:t>
      </w:r>
      <w:r>
        <w:t>, a Danish gas pump specialist. Tank Control Systems</w:t>
      </w:r>
      <w:r>
        <w:t xml:space="preserve"> designs, manufactures, </w:t>
      </w:r>
      <w:r>
        <w:t>sells</w:t>
      </w:r>
      <w:r>
        <w:t xml:space="preserve"> and services high-end measurement systems for gas tanks on LNG ships, offshore storage, and land-based LNG terminals. Tank Control Systems is also a leading supplier of safety products and associated systems and solutions for </w:t>
      </w:r>
      <w:r>
        <w:t>LPG land-based storage and underground cavern storage. Classifying Tank Control Systems business unit as assets held for sale has an impact of EUR -7 million on the profit for the financial period 2021. Completion of the transaction is expected in the firs</w:t>
      </w:r>
      <w:r>
        <w:t>t quarter of 2022. Tank Control Systems business unit belongs to Portfolio Business.</w:t>
      </w:r>
    </w:p>
    <w:p w:rsidR="00065AAA" w:rsidP="00065AAA" w14:paraId="6804C6DB" w14:textId="77777777">
      <w:pPr>
        <w:pStyle w:val="Bodytext2"/>
      </w:pPr>
    </w:p>
    <w:p w:rsidR="00065AAA" w:rsidP="00065AAA" w14:paraId="2F4D40DB" w14:textId="5424A53B">
      <w:pPr>
        <w:pStyle w:val="Bodytext2"/>
      </w:pPr>
      <w:r>
        <w:t xml:space="preserve">The divestment of Delivery Centre Santander to Javier </w:t>
      </w:r>
      <w:r>
        <w:t>Cavada</w:t>
      </w:r>
      <w:r>
        <w:t xml:space="preserve"> </w:t>
      </w:r>
      <w:r>
        <w:t>Corporación</w:t>
      </w:r>
      <w:r>
        <w:t xml:space="preserve"> Cantabria was announced in May 2021. Completion of the transaction is expected in the first quart</w:t>
      </w:r>
      <w:r>
        <w:t>er of 2022. Delivery Centre Santander belongs to Marine Power.</w:t>
      </w:r>
    </w:p>
    <w:p w:rsidR="00065AAA" w:rsidP="00065AAA" w14:paraId="2BE2F1E9" w14:textId="77777777">
      <w:pPr>
        <w:pStyle w:val="Bodytext2"/>
      </w:pPr>
    </w:p>
    <w:p w:rsidR="0065396A" w:rsidP="00065AAA" w14:paraId="014766BA" w14:textId="33A565DD">
      <w:pPr>
        <w:pStyle w:val="Bodytext2"/>
      </w:pPr>
      <w:r>
        <w:t>All assets held for sale are valued at the lower of book value or fair value.</w:t>
      </w:r>
    </w:p>
    <w:p w:rsidR="00B23664" w:rsidP="002F2D46" w14:paraId="53C07691" w14:textId="77777777">
      <w:pPr>
        <w:pStyle w:val="Heading13"/>
      </w:pPr>
    </w:p>
    <w:p w:rsidR="002F2D46" w:rsidRPr="005135BC" w:rsidP="002F2D46" w14:paraId="3F56B0C0" w14:textId="5B06E592">
      <w:pPr>
        <w:pStyle w:val="Heading13"/>
      </w:pPr>
      <w:r w:rsidRPr="005135BC">
        <w:t>2020</w:t>
      </w:r>
    </w:p>
    <w:p w:rsidR="00D0245C" w:rsidP="00D0245C" w14:paraId="0707D780" w14:textId="77777777">
      <w:pPr>
        <w:pStyle w:val="Bodytext2"/>
      </w:pPr>
      <w:r w:rsidRPr="00601AAC">
        <w:t xml:space="preserve">Wärtsilä has classified Entertainment and Tank Control businesses as assets held for sale. </w:t>
      </w:r>
      <w:r w:rsidRPr="00601AAC">
        <w:t>Entertainment business</w:t>
      </w:r>
      <w:r>
        <w:t xml:space="preserve"> </w:t>
      </w:r>
      <w:r w:rsidRPr="00601AAC">
        <w:t xml:space="preserve">has been classified as assets held for sale since the fourth quarter of 2019 and Tank Control </w:t>
      </w:r>
      <w:r w:rsidRPr="00601AAC">
        <w:t>business since the</w:t>
      </w:r>
      <w:r>
        <w:t xml:space="preserve"> </w:t>
      </w:r>
      <w:r w:rsidRPr="00601AAC">
        <w:t>second quarter of 2020. Completion of the transactions are expected in the first half of 2021.</w:t>
      </w:r>
    </w:p>
    <w:p w:rsidR="00D0245C" w:rsidP="00D0245C" w14:paraId="6AD8DFED" w14:textId="77777777">
      <w:pPr>
        <w:pStyle w:val="Bodytext2"/>
      </w:pPr>
    </w:p>
    <w:p w:rsidR="00D0245C" w:rsidP="00D0245C" w14:paraId="2EB74E93" w14:textId="77777777">
      <w:pPr>
        <w:pStyle w:val="Bodytext2"/>
      </w:pPr>
      <w:r w:rsidRPr="00601AAC">
        <w:t>Additionally, Wärtsilä h</w:t>
      </w:r>
      <w:r w:rsidRPr="00601AAC">
        <w:t>as started preparations to divest Wärtsilä EUROATLAS GmbH, which is also classified as</w:t>
      </w:r>
      <w:r>
        <w:t xml:space="preserve"> </w:t>
      </w:r>
      <w:r w:rsidRPr="00601AAC">
        <w:t>assets held for sale. Completion of the transaction is expected during the second half of 2021. The impact on the</w:t>
      </w:r>
      <w:r>
        <w:t xml:space="preserve"> </w:t>
      </w:r>
      <w:r w:rsidRPr="00601AAC">
        <w:t>profit for the financial period is approximately EUR -6</w:t>
      </w:r>
      <w:r w:rsidRPr="00601AAC">
        <w:t xml:space="preserve"> million.</w:t>
      </w:r>
    </w:p>
    <w:p w:rsidR="00D0245C" w:rsidP="00D0245C" w14:paraId="585C7AB0" w14:textId="77777777">
      <w:pPr>
        <w:pStyle w:val="Bodytext2"/>
      </w:pPr>
    </w:p>
    <w:p w:rsidR="00FF18E5" w:rsidRPr="0079738D" w:rsidP="0079738D" w14:paraId="114B19FC" w14:textId="41F0511A">
      <w:pPr>
        <w:pStyle w:val="Bodytext2"/>
        <w:spacing w:before="0"/>
        <w:rPr>
          <w:sz w:val="2"/>
          <w:szCs w:val="2"/>
        </w:rPr>
      </w:pPr>
      <w:r w:rsidRPr="00601AAC">
        <w:t>All assets held for sale belong to Portfolio Business and they are valued at the lower of book value or fair value.</w:t>
      </w:r>
      <w:r>
        <w:br w:type="column"/>
      </w:r>
      <w:r w:rsidRPr="0079738D">
        <w:rPr>
          <w:sz w:val="2"/>
          <w:szCs w:val="2"/>
        </w:rPr>
        <w:t xml:space="preserve">     </w:t>
      </w:r>
    </w:p>
    <w:p w:rsidR="00616C46" w:rsidRPr="00FF18E5" w:rsidP="00FF18E5" w14:paraId="1868BAD6" w14:textId="0BB747D3">
      <w:pPr>
        <w:pStyle w:val="Bodytext2"/>
        <w:rPr>
          <w:b/>
          <w:bCs/>
        </w:rPr>
      </w:pPr>
      <w:r w:rsidRPr="00FF18E5">
        <w:rPr>
          <w:b/>
          <w:bCs/>
        </w:rPr>
        <w:t>Items on statement of financial position</w:t>
      </w:r>
    </w:p>
    <w:tbl>
      <w:tblPr>
        <w:tblStyle w:val="TableNormal"/>
        <w:tblCaption w:val="table_63_cur"/>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31.12.2021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31.12.2020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Goodwill</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intangible assets</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Property, plant and equipment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Right-of-use assets</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Deferred tax assets</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Inventories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receivables, current</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and cash equivalents</w:t>
            </w:r>
          </w:p>
        </w:tc>
        <w:tc>
          <w:tcPr>
            <w:tcW w:w="12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Assets held for sale</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Write-down of assets</w:t>
            </w:r>
          </w:p>
        </w:tc>
        <w:tc>
          <w:tcPr>
            <w:tcW w:w="1245" w:type="dxa"/>
            <w:tcBorders>
              <w:top w:val="single" w:sz="4" w:space="0" w:color="004A6B"/>
              <w:left w:val="nil"/>
              <w:bottom w:val="single" w:sz="8" w:space="0" w:color="000000"/>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245" w:type="dxa"/>
            <w:tcBorders>
              <w:top w:val="single" w:sz="4" w:space="0" w:color="004A6B"/>
              <w:left w:val="nil"/>
              <w:bottom w:val="single" w:sz="8"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00000"/>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 for assets held for sale</w:t>
            </w:r>
          </w:p>
        </w:tc>
        <w:tc>
          <w:tcPr>
            <w:tcW w:w="1245" w:type="dxa"/>
            <w:tcBorders>
              <w:top w:val="single" w:sz="8" w:space="0" w:color="000000"/>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45" w:type="dxa"/>
            <w:tcBorders>
              <w:top w:val="single" w:sz="8" w:space="0" w:color="000000"/>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Deferred tax liabilities</w:t>
            </w:r>
          </w:p>
        </w:tc>
        <w:tc>
          <w:tcPr>
            <w:tcW w:w="124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liabilities, non-current</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liabilities, current</w:t>
            </w:r>
          </w:p>
        </w:tc>
        <w:tc>
          <w:tcPr>
            <w:tcW w:w="12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Liabilities directly attributable to assets held for sale</w:t>
            </w: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 assets</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31</w:t>
            </w:r>
          </w:p>
        </w:tc>
      </w:tr>
    </w:tbl>
    <w:p w:rsidR="009E621F" w:rsidP="00BA38AE" w14:paraId="692C949F" w14:textId="6E4E93B1">
      <w:pPr>
        <w:pStyle w:val="Bodytext2"/>
        <w:rPr>
          <w:color w:val="0F172B"/>
        </w:rPr>
      </w:pPr>
    </w:p>
    <w:p w:rsidR="005C3A59" w:rsidP="00BA38AE" w14:paraId="28B7F284" w14:textId="424D0521">
      <w:pPr>
        <w:pStyle w:val="Bodytext2"/>
      </w:pPr>
      <w:r w:rsidRPr="000108C6">
        <w:t>In 202</w:t>
      </w:r>
      <w:r w:rsidRPr="000108C6" w:rsidR="008121A0">
        <w:t>1</w:t>
      </w:r>
      <w:r w:rsidRPr="000108C6">
        <w:t xml:space="preserve">, the write-down of assets </w:t>
      </w:r>
      <w:r>
        <w:t xml:space="preserve">of </w:t>
      </w:r>
      <w:r w:rsidRPr="000108C6">
        <w:t>EUR -6 million</w:t>
      </w:r>
      <w:r>
        <w:t xml:space="preserve"> </w:t>
      </w:r>
      <w:r w:rsidRPr="000108C6">
        <w:t xml:space="preserve">relates to </w:t>
      </w:r>
      <w:r w:rsidRPr="000108C6" w:rsidR="008121A0">
        <w:t xml:space="preserve">Tank Control Systems business unit, which has been classified </w:t>
      </w:r>
      <w:r w:rsidRPr="000108C6">
        <w:t>as assets held for sale.</w:t>
      </w:r>
      <w:r w:rsidRPr="000108C6" w:rsidR="008121A0">
        <w:t xml:space="preserve"> </w:t>
      </w:r>
      <w:r w:rsidRPr="000108C6">
        <w:t>The e</w:t>
      </w:r>
      <w:r w:rsidRPr="000108C6" w:rsidR="000C4903">
        <w:t>xpense</w:t>
      </w:r>
      <w:r w:rsidRPr="000108C6">
        <w:t xml:space="preserve"> is </w:t>
      </w:r>
      <w:r w:rsidRPr="000108C6">
        <w:t>recognised</w:t>
      </w:r>
      <w:r w:rsidRPr="000108C6">
        <w:t xml:space="preserve"> </w:t>
      </w:r>
      <w:r>
        <w:t>as</w:t>
      </w:r>
      <w:r w:rsidRPr="000108C6">
        <w:t xml:space="preserve"> d</w:t>
      </w:r>
      <w:r w:rsidRPr="000108C6" w:rsidR="000C4903">
        <w:t xml:space="preserve">epreciation, </w:t>
      </w:r>
      <w:r w:rsidRPr="000108C6" w:rsidR="000C4903">
        <w:t>amorti</w:t>
      </w:r>
      <w:r w:rsidRPr="000108C6">
        <w:t>s</w:t>
      </w:r>
      <w:r w:rsidRPr="000108C6" w:rsidR="000C4903">
        <w:t>ation</w:t>
      </w:r>
      <w:r w:rsidRPr="000108C6" w:rsidR="000C4903">
        <w:t xml:space="preserve"> and impairment</w:t>
      </w:r>
      <w:r w:rsidRPr="000108C6">
        <w:t xml:space="preserve"> in the statement of income.</w:t>
      </w:r>
    </w:p>
    <w:p w:rsidR="003B65E1" w:rsidP="00BA38AE" w14:paraId="6EDF4A98" w14:textId="77777777">
      <w:pPr>
        <w:pStyle w:val="Bodytext2"/>
      </w:pPr>
    </w:p>
    <w:p w:rsidR="009E621F" w:rsidRPr="00EB5599" w:rsidP="00BA38AE" w14:paraId="5784D7C6" w14:textId="4D38C0A6">
      <w:pPr>
        <w:pStyle w:val="Bodytext2"/>
      </w:pPr>
      <w:r w:rsidRPr="005C3A59">
        <w:t xml:space="preserve">In 2020, the write-down of assets </w:t>
      </w:r>
      <w:r>
        <w:t xml:space="preserve">of </w:t>
      </w:r>
      <w:r w:rsidRPr="005C3A59">
        <w:t>EUR -6 million relate</w:t>
      </w:r>
      <w:r>
        <w:t>d</w:t>
      </w:r>
      <w:r w:rsidRPr="005C3A59">
        <w:t xml:space="preserve"> to the classification of Wärtsil</w:t>
      </w:r>
      <w:r>
        <w:t xml:space="preserve">ä </w:t>
      </w:r>
      <w:r w:rsidRPr="005C3A59">
        <w:t xml:space="preserve">EUROATLAS GmbH as assets held for sale. The expense </w:t>
      </w:r>
      <w:r>
        <w:t>was</w:t>
      </w:r>
      <w:r w:rsidRPr="005C3A59">
        <w:t xml:space="preserve"> </w:t>
      </w:r>
      <w:r w:rsidRPr="005C3A59">
        <w:t>recognised</w:t>
      </w:r>
      <w:r w:rsidRPr="005C3A59">
        <w:t xml:space="preserve"> </w:t>
      </w:r>
      <w:r>
        <w:t>as</w:t>
      </w:r>
      <w:r w:rsidRPr="005C3A59">
        <w:t xml:space="preserve"> depreciation,</w:t>
      </w:r>
      <w:r>
        <w:t xml:space="preserve"> </w:t>
      </w:r>
      <w:r w:rsidRPr="005C3A59">
        <w:t>amortisation</w:t>
      </w:r>
      <w:r w:rsidRPr="005C3A59">
        <w:t xml:space="preserve"> and impairment in the statement of income.</w:t>
      </w:r>
    </w:p>
    <w:p/>
    <w:p w:rsidR="00543D58" w:rsidRPr="00543D58" w:rsidP="00543D58" w14:paraId="1E645FAB" w14:textId="77777777">
      <w:pPr>
        <w:pStyle w:val="Heading12"/>
      </w:pPr>
      <w:bookmarkStart w:id="1498" w:name="RG_MARKER_7317"/>
      <w:r w:rsidRPr="00543D58">
        <w:t>6.4. INVESTMENTS IN ASSOCIATES AND JOINT VENTURES</w:t>
      </w:r>
      <w:bookmarkEnd w:id="1498"/>
    </w:p>
    <w:tbl>
      <w:tblPr>
        <w:tblStyle w:val="TableGrid"/>
        <w:tblW w:w="7371" w:type="dxa"/>
        <w:tblLook w:val="04A0"/>
      </w:tblPr>
      <w:tblGrid>
        <w:gridCol w:w="7371"/>
      </w:tblGrid>
      <w:tr w14:paraId="51209740" w14:textId="77777777" w:rsidTr="00543D58">
        <w:tblPrEx>
          <w:tblW w:w="7371" w:type="dxa"/>
          <w:tblLook w:val="04A0"/>
        </w:tblPrEx>
        <w:tc>
          <w:tcPr>
            <w:tcW w:w="7371" w:type="dxa"/>
            <w:tcBorders>
              <w:top w:val="nil"/>
              <w:left w:val="nil"/>
              <w:bottom w:val="nil"/>
              <w:right w:val="nil"/>
            </w:tcBorders>
            <w:shd w:val="clear" w:color="auto" w:fill="B6C8D1"/>
          </w:tcPr>
          <w:p w:rsidR="00543D58" w:rsidP="00543D58" w14:paraId="0BB6EC54" w14:textId="77777777">
            <w:pPr>
              <w:pStyle w:val="Heading13"/>
              <w:rPr>
                <w:lang w:val="en-GB"/>
              </w:rPr>
            </w:pPr>
            <w:r w:rsidRPr="00B151A2">
              <w:rPr>
                <w:lang w:val="en-GB"/>
              </w:rPr>
              <w:t>Accounting principles</w:t>
            </w:r>
          </w:p>
          <w:p w:rsidR="00543D58" w:rsidP="00543D58" w14:paraId="09BCF44C" w14:textId="77777777">
            <w:pPr>
              <w:pStyle w:val="Bodytext2"/>
              <w:rPr>
                <w:color w:val="0F172B"/>
                <w:szCs w:val="15"/>
                <w:lang w:val="en-GB"/>
              </w:rPr>
            </w:pPr>
            <w:r>
              <w:rPr>
                <w:color w:val="0F172B"/>
                <w:szCs w:val="15"/>
                <w:lang w:val="en-GB"/>
              </w:rPr>
              <w:t>Associated companies are all entities over which the Group has significant influence but not control or joint control. This is generally the case where the Group holds between 20% and 50% of the voting rights.</w:t>
            </w:r>
          </w:p>
          <w:p w:rsidR="00543D58" w:rsidP="00543D58" w14:paraId="30F4CF64" w14:textId="77777777">
            <w:pPr>
              <w:pStyle w:val="Bodytext2"/>
              <w:rPr>
                <w:color w:val="0F172B"/>
                <w:szCs w:val="15"/>
                <w:lang w:val="en-GB"/>
              </w:rPr>
            </w:pPr>
          </w:p>
          <w:p w:rsidR="00543D58" w:rsidP="00543D58" w14:paraId="3AC5099E" w14:textId="77777777">
            <w:pPr>
              <w:pStyle w:val="Bodytext2"/>
              <w:rPr>
                <w:color w:val="0F172B"/>
                <w:szCs w:val="15"/>
                <w:lang w:val="en-GB"/>
              </w:rPr>
            </w:pPr>
            <w:r>
              <w:rPr>
                <w:color w:val="0F172B"/>
                <w:szCs w:val="15"/>
                <w:lang w:val="en-GB"/>
              </w:rPr>
              <w:t>A joint venture is a joint arrangement whereb</w:t>
            </w:r>
            <w:r>
              <w:rPr>
                <w:color w:val="0F172B"/>
                <w:szCs w:val="15"/>
                <w:lang w:val="en-GB"/>
              </w:rPr>
              <w:t>y the parties that have joint control of the arrangement have rights to the net assets of the joint venture. Joint control is established by contractual agreement.</w:t>
            </w:r>
          </w:p>
          <w:p w:rsidR="00543D58" w:rsidP="00543D58" w14:paraId="340EC785" w14:textId="77777777">
            <w:pPr>
              <w:pStyle w:val="Bodytext2"/>
              <w:rPr>
                <w:color w:val="0F172B"/>
                <w:szCs w:val="15"/>
                <w:lang w:val="en-GB"/>
              </w:rPr>
            </w:pPr>
          </w:p>
          <w:p w:rsidR="00543D58" w:rsidP="00543D58" w14:paraId="3608F9FB" w14:textId="16AC3E6D">
            <w:pPr>
              <w:pStyle w:val="Bodytext2"/>
              <w:rPr>
                <w:color w:val="0F172B"/>
                <w:szCs w:val="15"/>
                <w:lang w:val="en-GB"/>
              </w:rPr>
            </w:pPr>
            <w:r>
              <w:rPr>
                <w:color w:val="0F172B"/>
                <w:szCs w:val="15"/>
                <w:lang w:val="en-GB"/>
              </w:rPr>
              <w:t>Associated companies and joint ventures are included in the consolidated financial statemen</w:t>
            </w:r>
            <w:r>
              <w:rPr>
                <w:color w:val="0F172B"/>
                <w:szCs w:val="15"/>
                <w:lang w:val="en-GB"/>
              </w:rPr>
              <w:t>ts using the equity method from the date the Group’s significant influence or joint control commences until the date it ceases. Investments in associates are initially recognised at cost, and the carrying amount is increased or decreased according to the G</w:t>
            </w:r>
            <w:r>
              <w:rPr>
                <w:color w:val="0F172B"/>
                <w:szCs w:val="15"/>
                <w:lang w:val="en-GB"/>
              </w:rPr>
              <w:t xml:space="preserve">roup´s share of changes in the net assets of the associate after the date of the acquisition. The Group’s share of the associated company’s or joint venture’s profit for the reporting period </w:t>
            </w:r>
            <w:r>
              <w:rPr>
                <w:color w:val="0F172B"/>
                <w:szCs w:val="15"/>
                <w:lang w:val="en-GB"/>
              </w:rPr>
              <w:t xml:space="preserve">is shown as a separate item before the Group’s operating result, </w:t>
            </w:r>
            <w:r>
              <w:rPr>
                <w:color w:val="0F172B"/>
                <w:szCs w:val="15"/>
                <w:lang w:val="en-GB"/>
              </w:rPr>
              <w:t>on the line Share of result of associates and joint ventures. The Group’s share of the associated company’s or joint venture’s changes recognised in other comprehensive income is recognised in the Group’s other comprehensive income. Wärtsilä’s proportion o</w:t>
            </w:r>
            <w:r>
              <w:rPr>
                <w:color w:val="0F172B"/>
                <w:szCs w:val="15"/>
                <w:lang w:val="en-GB"/>
              </w:rPr>
              <w:t>f the associated company’s or joint venture’s post-acquisition accumulated equity is included in the Group’s equity. If the Group’s share of the associated company's or joint venture's losses exceeds its interest in the company, the carrying amount is writ</w:t>
            </w:r>
            <w:r>
              <w:rPr>
                <w:color w:val="0F172B"/>
                <w:szCs w:val="15"/>
                <w:lang w:val="en-GB"/>
              </w:rPr>
              <w:t>ten down to zero. After this, losses are only recognised if the Group has incurred obligations from the associated company or joint venture.</w:t>
            </w:r>
          </w:p>
          <w:p w:rsidR="00543D58" w:rsidP="00543D58" w14:paraId="116AE2A9" w14:textId="77777777">
            <w:pPr>
              <w:pStyle w:val="Bodytext2"/>
              <w:rPr>
                <w:color w:val="0F172B"/>
                <w:szCs w:val="15"/>
                <w:lang w:val="en-GB"/>
              </w:rPr>
            </w:pPr>
          </w:p>
          <w:p w:rsidR="00543D58" w:rsidP="00543D58" w14:paraId="4C862404" w14:textId="06FE9851">
            <w:pPr>
              <w:pStyle w:val="Bodytext2"/>
              <w:rPr>
                <w:color w:val="0F172B"/>
                <w:szCs w:val="15"/>
                <w:lang w:val="en-GB"/>
              </w:rPr>
            </w:pPr>
            <w:r>
              <w:rPr>
                <w:color w:val="0F172B"/>
                <w:szCs w:val="15"/>
                <w:lang w:val="en-GB"/>
              </w:rPr>
              <w:t>The accumulated exchange rate differences arising from the consolidation of associated companies and joint venture</w:t>
            </w:r>
            <w:r>
              <w:rPr>
                <w:color w:val="0F172B"/>
                <w:szCs w:val="15"/>
                <w:lang w:val="en-GB"/>
              </w:rPr>
              <w:t>s, which are recognised in equity, are recognised in the statement of income as part of the gain or loss when change in ownership occurs.</w:t>
            </w:r>
          </w:p>
        </w:tc>
      </w:tr>
    </w:tbl>
    <w:p w:rsidR="00543D58" w:rsidP="00543D58" w14:paraId="6A575E5F" w14:textId="77777777">
      <w:pPr>
        <w:pStyle w:val="Bodytext2"/>
        <w:rPr>
          <w:color w:val="0F172B"/>
          <w:szCs w:val="15"/>
          <w:lang w:val="en-GB" w:eastAsia="fi-FI"/>
        </w:rPr>
      </w:pPr>
    </w:p>
    <w:tbl>
      <w:tblPr>
        <w:tblStyle w:val="TableNormal"/>
        <w:tblCaption w:val="table_64_investments"/>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Carrying amount on 1 January</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Share of result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Dividends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Translation differences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Reduction of share capital in associates and joint ventures</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Impairment</w:t>
            </w:r>
          </w:p>
        </w:tc>
        <w:tc>
          <w:tcPr>
            <w:tcW w:w="12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30" w:type="dxa"/>
            <w:tcBorders>
              <w:top w:val="nil"/>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Carrying amount on 31 December</w:t>
            </w:r>
          </w:p>
        </w:tc>
        <w:tc>
          <w:tcPr>
            <w:tcW w:w="1245"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27</w:t>
            </w:r>
          </w:p>
        </w:tc>
        <w:tc>
          <w:tcPr>
            <w:tcW w:w="1245"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w:t>
            </w:r>
          </w:p>
        </w:tc>
      </w:tr>
    </w:tbl>
    <w:p w:rsidR="00725352" w:rsidP="00543D58" w14:paraId="5AA463B9" w14:textId="635346A5">
      <w:pPr>
        <w:pStyle w:val="Bodytext2"/>
        <w:rPr>
          <w:color w:val="0F172B"/>
          <w:szCs w:val="15"/>
          <w:lang w:val="en-GB"/>
        </w:rPr>
        <w:sectPr w:rsidSect="00E83080">
          <w:headerReference w:type="even" r:id="rId58"/>
          <w:headerReference w:type="default" r:id="rId59"/>
          <w:footerReference w:type="even" r:id="rId60"/>
          <w:footerReference w:type="default" r:id="rId61"/>
          <w:headerReference w:type="first" r:id="rId62"/>
          <w:footerReference w:type="first" r:id="rId63"/>
          <w:type w:val="continuous"/>
          <w:pgSz w:w="16838" w:h="11906" w:orient="landscape"/>
          <w:pgMar w:top="1814" w:right="737" w:bottom="1247" w:left="737" w:header="720" w:footer="720" w:gutter="0"/>
          <w:pgBorders w:zOrder="front" w:display="allPages" w:offsetFrom="text">
            <w:top w:val="nil"/>
            <w:left w:val="nil"/>
            <w:bottom w:val="nil"/>
            <w:right w:val="nil"/>
          </w:pgBorders>
          <w:cols w:num="2" w:space="624"/>
          <w:vAlign w:val="top"/>
          <w:titlePg w:val="0"/>
          <w:rtlGutter w:val="0"/>
          <w:docGrid w:linePitch="360"/>
        </w:sectPr>
      </w:pPr>
    </w:p>
    <w:p w:rsidR="00543D58" w:rsidP="00543D58" w14:paraId="18E3F483" w14:textId="42D314F1">
      <w:pPr>
        <w:pStyle w:val="Heading13"/>
        <w:rPr>
          <w:lang w:val="en-GB"/>
        </w:rPr>
      </w:pPr>
      <w:r>
        <w:rPr>
          <w:lang w:val="en-GB"/>
        </w:rPr>
        <w:t>Summary of financial information (100%):</w:t>
      </w:r>
    </w:p>
    <w:p w:rsidR="00543D58" w:rsidP="00543D58" w14:paraId="7C280F77" w14:textId="77777777">
      <w:pPr>
        <w:pStyle w:val="Bodytext2"/>
        <w:rPr>
          <w:b/>
          <w:bCs/>
          <w:color w:val="0F172B"/>
          <w:szCs w:val="15"/>
          <w:lang w:val="en-GB"/>
        </w:rPr>
      </w:pPr>
    </w:p>
    <w:p w:rsidR="00543D58" w:rsidP="00543D58" w14:paraId="27E64C2E" w14:textId="26478F0E">
      <w:pPr>
        <w:pStyle w:val="Heading13"/>
        <w:rPr>
          <w:lang w:val="en-GB"/>
        </w:rPr>
      </w:pPr>
      <w:r>
        <w:rPr>
          <w:lang w:val="en-GB"/>
        </w:rPr>
        <w:t>2021</w:t>
      </w:r>
    </w:p>
    <w:tbl>
      <w:tblPr>
        <w:tblStyle w:val="TableNormal"/>
        <w:tblCaption w:val="table_64_fin_info_cur"/>
        <w:tblW w:w="15450" w:type="dxa"/>
        <w:tblLayout w:type="fixed"/>
        <w:tblLook w:val="0600"/>
      </w:tblPr>
      <w:tblGrid>
        <w:gridCol w:w="4860"/>
        <w:gridCol w:w="1215"/>
        <w:gridCol w:w="870"/>
        <w:gridCol w:w="1215"/>
        <w:gridCol w:w="1215"/>
        <w:gridCol w:w="1215"/>
        <w:gridCol w:w="1215"/>
        <w:gridCol w:w="1215"/>
        <w:gridCol w:w="1215"/>
        <w:gridCol w:w="1215"/>
      </w:tblGrid>
      <w:tr>
        <w:tblPrEx>
          <w:tblW w:w="15450" w:type="dxa"/>
          <w:tblLayout w:type="fixed"/>
          <w:tblLook w:val="0600"/>
        </w:tblPrEx>
        <w:trPr>
          <w:trHeight w:val="240"/>
        </w:trPr>
        <w:tc>
          <w:tcPr>
            <w:tcW w:w="486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15"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Holding %</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Non-current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assets</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assets</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Equity</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Non-current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liabilities</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liabilities</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Net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sales</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Profit for the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financial period</w:t>
            </w:r>
          </w:p>
        </w:tc>
      </w:tr>
      <w:tr>
        <w:tblPrEx>
          <w:tblW w:w="1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6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Joint ventures</w:t>
            </w:r>
          </w:p>
        </w:tc>
        <w:tc>
          <w:tcPr>
            <w:tcW w:w="12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1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6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Qiyao Diesel Company Ltd.</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China</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50.0</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37</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54</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r>
      <w:tr>
        <w:tblPrEx>
          <w:tblW w:w="1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6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CSSC Wärtsilä Electrical &amp; Automation Co., Ltd.</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China</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49.0</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r>
      <w:tr>
        <w:tblPrEx>
          <w:tblW w:w="1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6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CSSC Wärtsilä Engine (Shanghai) Co., Ltd.</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China</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49.0</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56</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117</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34</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115</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75</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r>
      <w:tr>
        <w:tblPrEx>
          <w:tblW w:w="1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6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Repropel Sociedad de reparacao de helices</w:t>
            </w:r>
          </w:p>
        </w:tc>
        <w:tc>
          <w:tcPr>
            <w:tcW w:w="121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Portugal</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50.0</w:t>
            </w:r>
          </w:p>
        </w:tc>
        <w:tc>
          <w:tcPr>
            <w:tcW w:w="121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1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1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bl>
    <w:p w:rsidR="00543D58" w:rsidP="00543D58" w14:paraId="6CB1ED6D" w14:textId="77777777">
      <w:pPr>
        <w:pStyle w:val="Bodytext2"/>
        <w:rPr>
          <w:color w:val="0F172B"/>
          <w:szCs w:val="15"/>
          <w:lang w:val="en-GB"/>
        </w:rPr>
      </w:pPr>
    </w:p>
    <w:p w:rsidR="00EC6BDA" w:rsidP="00543D58" w14:paraId="1667D6A9" w14:textId="292E7BC7">
      <w:pPr>
        <w:pStyle w:val="Bodytext2"/>
        <w:rPr>
          <w:color w:val="0F172B"/>
          <w:szCs w:val="15"/>
          <w:lang w:val="en-GB"/>
        </w:rPr>
      </w:pPr>
      <w:r>
        <w:rPr>
          <w:color w:val="0F172B"/>
          <w:szCs w:val="15"/>
          <w:lang w:val="en-GB"/>
        </w:rPr>
        <w:t xml:space="preserve">CSSC Wärtsilä Engine (Shanghai) Co., Ltd. manufactures medium and large bore medium speed diesel and dual-fuel engines at its factory in Lingang, Shanghai, China. Wärtsilä Qiyao Diesel Company Ltd. manufactures marine auxiliary engines in Shanghai, China. </w:t>
      </w:r>
      <w:r>
        <w:rPr>
          <w:color w:val="0F172B"/>
          <w:szCs w:val="15"/>
          <w:lang w:val="en-GB"/>
        </w:rPr>
        <w:t>CSSC Wärtsilä Electrical &amp; Automation Co., Ltd. manufactures advanced electronical and automation solutions for the cruise industry.</w:t>
      </w:r>
    </w:p>
    <w:p w:rsidR="00543D58" w:rsidP="00543D58" w14:paraId="56907B0C" w14:textId="77777777">
      <w:pPr>
        <w:pStyle w:val="Bodytext2"/>
        <w:rPr>
          <w:color w:val="0F172B"/>
          <w:szCs w:val="15"/>
          <w:lang w:val="en-GB"/>
        </w:rPr>
      </w:pPr>
    </w:p>
    <w:p w:rsidR="00543D58" w:rsidP="00543D58" w14:paraId="7FCD5053" w14:textId="42386493">
      <w:pPr>
        <w:pStyle w:val="Heading13"/>
        <w:rPr>
          <w:lang w:val="en-GB"/>
        </w:rPr>
      </w:pPr>
      <w:r>
        <w:rPr>
          <w:lang w:val="en-GB"/>
        </w:rPr>
        <w:t>2020</w:t>
      </w:r>
    </w:p>
    <w:tbl>
      <w:tblPr>
        <w:tblStyle w:val="TableNormal"/>
        <w:tblCaption w:val="table_64_fin_info_pre"/>
        <w:tblW w:w="15450" w:type="dxa"/>
        <w:tblLayout w:type="fixed"/>
        <w:tblLook w:val="0600"/>
      </w:tblPr>
      <w:tblGrid>
        <w:gridCol w:w="4860"/>
        <w:gridCol w:w="1215"/>
        <w:gridCol w:w="870"/>
        <w:gridCol w:w="1215"/>
        <w:gridCol w:w="1215"/>
        <w:gridCol w:w="1215"/>
        <w:gridCol w:w="1215"/>
        <w:gridCol w:w="1215"/>
        <w:gridCol w:w="1215"/>
        <w:gridCol w:w="1215"/>
      </w:tblGrid>
      <w:tr>
        <w:tblPrEx>
          <w:tblW w:w="15450" w:type="dxa"/>
          <w:tblLayout w:type="fixed"/>
          <w:tblLook w:val="0600"/>
        </w:tblPrEx>
        <w:trPr>
          <w:trHeight w:val="240"/>
        </w:trPr>
        <w:tc>
          <w:tcPr>
            <w:tcW w:w="486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15"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Holding %</w:t>
            </w:r>
          </w:p>
        </w:tc>
        <w:tc>
          <w:tcPr>
            <w:tcW w:w="121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Non-current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assets</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assets</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Equity</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liabilities</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Net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sales</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Profit for the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financial period</w:t>
            </w:r>
          </w:p>
        </w:tc>
      </w:tr>
      <w:tr>
        <w:tblPrEx>
          <w:tblW w:w="1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6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Joint ventures</w:t>
            </w:r>
          </w:p>
        </w:tc>
        <w:tc>
          <w:tcPr>
            <w:tcW w:w="12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1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486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Qiyao Diesel Company Ltd.</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China</w:t>
            </w:r>
          </w:p>
        </w:tc>
        <w:tc>
          <w:tcPr>
            <w:tcW w:w="87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50.0</w:t>
            </w: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54</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r>
      <w:tr>
        <w:tblPrEx>
          <w:tblW w:w="1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486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Hyundai Engine Co Ltd.</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South Korea</w:t>
            </w:r>
          </w:p>
        </w:tc>
        <w:tc>
          <w:tcPr>
            <w:tcW w:w="87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0.0</w:t>
            </w: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1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6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CSSC Wärtsilä Electrical &amp; Automation Co., Ltd.</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China</w:t>
            </w:r>
          </w:p>
        </w:tc>
        <w:tc>
          <w:tcPr>
            <w:tcW w:w="87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49.0</w:t>
            </w: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w:t>
            </w: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486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CSSC Wärtsilä Engine (Shanghai) Co., Ltd.</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China</w:t>
            </w:r>
          </w:p>
        </w:tc>
        <w:tc>
          <w:tcPr>
            <w:tcW w:w="87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49.0</w:t>
            </w: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73</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74</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66</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1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6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Repropel Sociedad de reparacao de helices</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Portugal</w:t>
            </w:r>
          </w:p>
        </w:tc>
        <w:tc>
          <w:tcPr>
            <w:tcW w:w="87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50.0</w:t>
            </w: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bl>
    <w:p w:rsidR="00813C16" w:rsidP="00543D58" w14:paraId="732F81E7" w14:textId="00975FA0">
      <w:pPr>
        <w:pStyle w:val="Bodytext2"/>
        <w:rPr>
          <w:color w:val="0F172B"/>
          <w:szCs w:val="15"/>
          <w:lang w:val="en-GB"/>
        </w:rPr>
      </w:pPr>
    </w:p>
    <w:p w:rsidR="00813C16" w:rsidP="00543D58" w14:paraId="647D4365" w14:textId="40A1220A">
      <w:pPr>
        <w:pStyle w:val="Bodytext2"/>
        <w:rPr>
          <w:color w:val="0F172B"/>
          <w:szCs w:val="15"/>
          <w:lang w:val="en-GB"/>
        </w:rPr>
      </w:pPr>
      <w:r>
        <w:rPr>
          <w:color w:val="0F172B"/>
          <w:szCs w:val="15"/>
        </w:rPr>
        <w:t>Wärtsilä Hyundai Engine Co Ltd. was disposed on 31 December 2020. During 2020, Wärtsilä L</w:t>
      </w:r>
      <w:r>
        <w:rPr>
          <w:color w:val="0F172B"/>
          <w:szCs w:val="15"/>
        </w:rPr>
        <w:t>and &amp; Sea Academy, Inc. was liquidated, and the shares of Neptun Maritime AS were sold.</w:t>
      </w:r>
    </w:p>
    <w:p w:rsidR="00813C16" w:rsidP="00543D58" w14:paraId="57D70263" w14:textId="348F78B2">
      <w:pPr>
        <w:pStyle w:val="Bodytext2"/>
        <w:rPr>
          <w:color w:val="0F172B"/>
          <w:szCs w:val="15"/>
          <w:lang w:val="en-GB"/>
        </w:rPr>
        <w:sectPr w:rsidSect="00725352">
          <w:headerReference w:type="even" r:id="rId64"/>
          <w:headerReference w:type="default" r:id="rId65"/>
          <w:footerReference w:type="even" r:id="rId66"/>
          <w:footerReference w:type="default" r:id="rId67"/>
          <w:headerReference w:type="first" r:id="rId68"/>
          <w:footerReference w:type="first" r:id="rId69"/>
          <w:type w:val="continuous"/>
          <w:pgSz w:w="16838" w:h="11906" w:orient="landscape"/>
          <w:pgMar w:top="1814" w:right="737" w:bottom="1247" w:left="737" w:header="720" w:footer="720" w:gutter="0"/>
          <w:pgBorders w:zOrder="front" w:display="allPages" w:offsetFrom="text">
            <w:top w:val="nil"/>
            <w:left w:val="nil"/>
            <w:bottom w:val="nil"/>
            <w:right w:val="nil"/>
          </w:pgBorders>
          <w:cols w:space="720"/>
          <w:vAlign w:val="top"/>
          <w:titlePg w:val="0"/>
          <w:rtlGutter w:val="0"/>
        </w:sectPr>
      </w:pPr>
    </w:p>
    <w:p w:rsidR="00543D58" w:rsidRPr="00FD7763" w:rsidP="00543D58" w14:paraId="6E83696E" w14:textId="77777777">
      <w:pPr>
        <w:pStyle w:val="Bodytext2"/>
        <w:rPr>
          <w:color w:val="0F172B"/>
          <w:sz w:val="2"/>
          <w:szCs w:val="2"/>
          <w:lang w:val="en-GB"/>
        </w:rPr>
        <w:sectPr w:rsidSect="00BF5950">
          <w:headerReference w:type="even" r:id="rId70"/>
          <w:headerReference w:type="default" r:id="rId71"/>
          <w:footerReference w:type="even" r:id="rId72"/>
          <w:footerReference w:type="default" r:id="rId73"/>
          <w:headerReference w:type="first" r:id="rId74"/>
          <w:footerReference w:type="first" r:id="rId75"/>
          <w:type w:val="continuous"/>
          <w:pgSz w:w="16838" w:h="11906" w:orient="landscape"/>
          <w:pgMar w:top="1814" w:right="737" w:bottom="1247" w:left="737" w:header="720" w:footer="720" w:gutter="0"/>
          <w:pgBorders w:zOrder="front" w:display="allPages" w:offsetFrom="text">
            <w:top w:val="nil"/>
            <w:left w:val="nil"/>
            <w:bottom w:val="nil"/>
            <w:right w:val="nil"/>
          </w:pgBorders>
          <w:cols w:space="720"/>
          <w:vAlign w:val="top"/>
          <w:titlePg w:val="0"/>
          <w:rtlGutter w:val="0"/>
          <w:docGrid w:linePitch="360"/>
        </w:sectPr>
      </w:pPr>
      <w:r>
        <w:t xml:space="preserve"> </w:t>
      </w:r>
    </w:p>
    <w:p w:rsidR="00324119" w:rsidP="00324119" w14:paraId="5F903803" w14:textId="77777777">
      <w:pPr>
        <w:pStyle w:val="Heading12"/>
      </w:pPr>
      <w:bookmarkStart w:id="1499" w:name="RG_MARKER_7318"/>
      <w:r>
        <w:t>6.5. SUBSIDIARIES</w:t>
      </w:r>
      <w:bookmarkEnd w:id="1499"/>
    </w:p>
    <w:tbl>
      <w:tblPr>
        <w:tblStyle w:val="TableGrid"/>
        <w:tblW w:w="7371" w:type="dxa"/>
        <w:tblLook w:val="04A0"/>
      </w:tblPr>
      <w:tblGrid>
        <w:gridCol w:w="7371"/>
      </w:tblGrid>
      <w:tr w14:paraId="5339F151" w14:textId="77777777" w:rsidTr="00324119">
        <w:tblPrEx>
          <w:tblW w:w="7371" w:type="dxa"/>
          <w:tblLook w:val="04A0"/>
        </w:tblPrEx>
        <w:tc>
          <w:tcPr>
            <w:tcW w:w="7371" w:type="dxa"/>
            <w:tcBorders>
              <w:top w:val="nil"/>
              <w:left w:val="nil"/>
              <w:bottom w:val="nil"/>
              <w:right w:val="nil"/>
            </w:tcBorders>
            <w:shd w:val="clear" w:color="auto" w:fill="B6C8D1"/>
          </w:tcPr>
          <w:p w:rsidR="00324119" w:rsidRPr="00C4573C" w:rsidP="00324119" w14:paraId="3AC1C034" w14:textId="77777777">
            <w:pPr>
              <w:pStyle w:val="Heading13"/>
              <w:rPr>
                <w:lang w:val="en-GB"/>
              </w:rPr>
            </w:pPr>
            <w:r w:rsidRPr="00C4573C">
              <w:rPr>
                <w:lang w:val="en-GB"/>
              </w:rPr>
              <w:t>Accounting principles</w:t>
            </w:r>
          </w:p>
          <w:p w:rsidR="00324119" w:rsidRPr="004D1E71" w:rsidP="0049797B" w14:paraId="35F7610F" w14:textId="03986613">
            <w:pPr>
              <w:pStyle w:val="Bodytext2"/>
              <w:rPr>
                <w:lang w:val="en-GB"/>
              </w:rPr>
            </w:pPr>
            <w:r w:rsidRPr="004D1E71">
              <w:rPr>
                <w:lang w:val="en-GB"/>
              </w:rPr>
              <w:t>The consolidated financial</w:t>
            </w:r>
            <w:r w:rsidRPr="004D1E71">
              <w:rPr>
                <w:lang w:val="en-GB"/>
              </w:rPr>
              <w:t xml:space="preserve"> statements include the parent company Wärtsilä Corporation and all subsidiaries over which the Group has control. The Group controls an entity when the Group is exposed to, or has rights to, variable returns from its involvement with the entity and has th</w:t>
            </w:r>
            <w:r w:rsidRPr="004D1E71">
              <w:rPr>
                <w:lang w:val="en-GB"/>
              </w:rPr>
              <w:t>e ability to affect those returns through its power to direct the activities of the entity. When the Group has less than a majority of voting or similar rights in an entity, the Group considers all relevant facts and circumstances in assessing whether it h</w:t>
            </w:r>
            <w:r w:rsidRPr="004D1E71">
              <w:rPr>
                <w:lang w:val="en-GB"/>
              </w:rPr>
              <w:t xml:space="preserve">as power over an entity, including the contractual arrangements, voting rights, and potential voting rights. The Group reassesses whether </w:t>
            </w:r>
            <w:r w:rsidRPr="004D1E71">
              <w:rPr>
                <w:lang w:val="en-GB"/>
              </w:rPr>
              <w:t>it controls an entity if facts and circumstances indicate that there are changes to the elements of control.</w:t>
            </w:r>
          </w:p>
          <w:p w:rsidR="00324119" w:rsidRPr="004D1E71" w:rsidP="0049797B" w14:paraId="6E5351F1" w14:textId="77777777">
            <w:pPr>
              <w:pStyle w:val="Bodytext2"/>
              <w:rPr>
                <w:lang w:val="en-GB"/>
              </w:rPr>
            </w:pPr>
          </w:p>
          <w:p w:rsidR="00324119" w:rsidP="0049797B" w14:paraId="0D7B6E0F" w14:textId="77777777">
            <w:pPr>
              <w:pStyle w:val="Bodytext2"/>
              <w:rPr>
                <w:lang w:val="en-GB"/>
              </w:rPr>
            </w:pPr>
            <w:r w:rsidRPr="004D1E71">
              <w:rPr>
                <w:lang w:val="en-GB"/>
              </w:rPr>
              <w:t>T</w:t>
            </w:r>
            <w:r w:rsidRPr="004D1E71">
              <w:rPr>
                <w:lang w:val="en-GB"/>
              </w:rPr>
              <w:t>he financial information from subsidiaries in countries with hyperinflation are adjusted according to IAS 29, when the impact of the hyperinflation is considered material for the consolidated financial statements.</w:t>
            </w:r>
          </w:p>
        </w:tc>
      </w:tr>
    </w:tbl>
    <w:p w:rsidR="00324119" w:rsidP="00324119" w14:paraId="70EB8F48" w14:textId="77777777">
      <w:pPr>
        <w:pStyle w:val="Bodytext2"/>
        <w:rPr>
          <w:color w:val="0F172B"/>
          <w:szCs w:val="15"/>
          <w:lang w:val="en-GB"/>
        </w:rPr>
      </w:pPr>
    </w:p>
    <w:tbl>
      <w:tblPr>
        <w:tblStyle w:val="TableNormal"/>
        <w:tblCaption w:val="table_65"/>
        <w:tblW w:w="7350" w:type="dxa"/>
        <w:tblLayout w:type="fixed"/>
        <w:tblLook w:val="0600"/>
      </w:tblPr>
      <w:tblGrid>
        <w:gridCol w:w="870"/>
        <w:gridCol w:w="2925"/>
        <w:gridCol w:w="1125"/>
        <w:gridCol w:w="1740"/>
        <w:gridCol w:w="690"/>
      </w:tblGrid>
      <w:tr>
        <w:tblPrEx>
          <w:tblW w:w="7350" w:type="dxa"/>
          <w:tblLayout w:type="fixed"/>
          <w:tblLook w:val="0600"/>
        </w:tblPrEx>
        <w:trPr>
          <w:trHeight w:val="240"/>
        </w:trPr>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Geo-</w:t>
            </w:r>
          </w:p>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graph-</w:t>
            </w:r>
          </w:p>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ical </w:t>
            </w:r>
          </w:p>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area</w:t>
            </w:r>
          </w:p>
        </w:tc>
        <w:tc>
          <w:tcPr>
            <w:tcW w:w="29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Company name </w:t>
            </w:r>
          </w:p>
        </w:tc>
        <w:tc>
          <w:tcPr>
            <w:tcW w:w="11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Location</w:t>
            </w:r>
          </w:p>
        </w:tc>
        <w:tc>
          <w:tcPr>
            <w:tcW w:w="174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Activities</w:t>
            </w:r>
          </w:p>
        </w:tc>
        <w:tc>
          <w:tcPr>
            <w:tcW w:w="69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Share %</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Europe</w:t>
            </w:r>
          </w:p>
        </w:tc>
        <w:tc>
          <w:tcPr>
            <w:tcW w:w="292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Cyprus Limited</w:t>
            </w:r>
          </w:p>
        </w:tc>
        <w:tc>
          <w:tcPr>
            <w:tcW w:w="112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Cyprus</w:t>
            </w:r>
          </w:p>
        </w:tc>
        <w:tc>
          <w:tcPr>
            <w:tcW w:w="174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Danmark A/S</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Denmark</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Lyngsø Marine A/S</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Denmark</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BLRT Estonia Oü</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Estonia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Finland Oy</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Finland</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Production, 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Projects Oy</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Finland</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Solutions Oy</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Finland</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Technology Oy Ab</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Finland</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Holding</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France S.A.S.</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France</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Voyage Mediterranean SAS</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France</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Deutschland GmbH</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Germany</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SAM Electronics GmbH</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Germany</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Voyage Germany GmbH</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Germany</w:t>
            </w:r>
          </w:p>
        </w:tc>
        <w:tc>
          <w:tcPr>
            <w:tcW w:w="174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Serck Como GmbH</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Germany</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Guidance Marine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the United Kingdom</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Puregas Solutions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the United Kingdom</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UK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the United Kingdom</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Production, 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Voyage UK Limited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the United Kingdom</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Ships Electronic Services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the United Kingdom</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Greenham Regis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the United Kingdom</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Water Systems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the United Kingdom</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Defence Solutions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the United Kingdom</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Greece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Greece</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Hungary Kft</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Hungary</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Transas New Building Limited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Ireland</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Voyage Limited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Ireland</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APSS Srl</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Italy</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Italia S.p.A.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Italy</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Production, 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Trident Italia Srl</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Italy</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Moss AS</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Norway</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Production, 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Norway AS</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Norway</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Production, 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Gas Solutions Norway AS.</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Norway</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Valmarine AS</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Norway</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Baltic Design Centre Sp.z.o.o.</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Poland</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Polska Sp.z.o.o.</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Poland</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Voyage Poland sp. z.o.o.</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Poland</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Portugal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Portugal</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Vostok, LLC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Russia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Transas Navigator Ltd. </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Russia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Digital Technologies, JSC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Russia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Ibérica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Spain</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Production, 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Burriel Navarro S.L.</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Spain</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Trident Las Palmas S.L.</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Spain</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Sweden AB</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Sweden</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Production, 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Voyage Sweden AB</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Sweden</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Services Switzerland AG</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Switzerland</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Quantiparts B.V.</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The Netherlands</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Netherlands B.V.</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The Netherlands</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Production, 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Trident B.V.</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The Netherlands</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Voyage Netherlands B.V.</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The Netherlands</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The Americas</w:t>
            </w: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Argentina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Argentina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Brasil Ltda.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Brazil</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Production, 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Canada Inc.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Canada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Chile Ltda.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Chile</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Colombia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Colombia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Dominicana Inc.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Dominican Republic</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Ecuador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Ecuador</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Guatemala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Guatemala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Operations Guyana Inc.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Guyana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de Mexico S.A. de C.V.</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Mexico</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Panama Services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Panama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Peru S.A.C.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Peru</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Caribbean, Inc.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Puerto Rico</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Uruguay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Uruguay</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American Hydro Corporation</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Guidance Marine LLC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Defence Inc.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North America, Inc.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LOCK-N-STITCH Inc.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Wartsila Voyage Americas  Inc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Asia</w:t>
            </w: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PT. Wärtsilä Indonesia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Indonesia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Azerbaijan LLC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Azerbaijan</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Bangladesh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Bangladesh</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Propulsion (Wuxi) Co.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China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Production, 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Services (Shanghai) Co.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China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Ship Design (Shanghai) Co.,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China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Suzhou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China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Production, 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Wärtsilä-CME Zhenjiang Propeller Co.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China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Production, 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55.0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Voyage (Shanghai) Co.,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Hong Kong</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China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Hong Kong</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India Private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India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Production, 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Japan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Japan</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Production, 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Malaysia Sdn. Bhd.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Malaysia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Myanmar</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Myanmar</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Pakistan (Pvt.)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Pakistan</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Philippines Inc.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Philippines</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Doha L.L.C.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Qatar</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Power Contracting Company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Saudi Arabia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Guidance Marine Pte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Singapore</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Singapore Pte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Singapore</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Voyage Pacific Pte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Singapore</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Korea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South Korea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Lanka (PVT)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Sri Lanka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Taiwan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Taiwan</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Wärtsilä-Enpa A.S.</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Turkey</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Gulf FZE</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United Arab Emirates</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Hamworthy Middle East (FZE)</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United Arab Emirates</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LLC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United Arab Emirates</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Ships Repairing &amp; Maintenance LLC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United Arab Emirates</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Wärtsilä Voyage Middle East DMCEST </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United Arab Emirates</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Wartsila Samarkand Energy LLC </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Uzbekistan</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(Vietnam) Company Limited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Vietnam</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w:t>
            </w: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Australia Pty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Australia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Burkina Faso</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Burkina Faso</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Central Africa Plc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Cameroon</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Egypt Power S.A.E</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Egypt</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Central Africa Gabon</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Gabon</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West Africa Guinea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Guinea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Eastern Africa Limited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Kenya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Mauritanie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Mauritania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Mocambique LDA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Mozambique</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Muscat LLC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Oman</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New Zealand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New Zealand</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Marine &amp; Power Services Nigeria Limited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Nigeria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PNG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Papua New Guinea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West Africa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Senegal</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Southern Africa (Pty)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South Africa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South Africa Pty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South Africa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Tanzania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Tanzania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Uganda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Uganda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and services</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bl>
    <w:p w:rsidR="00324119" w:rsidP="00324119" w14:paraId="3D020704" w14:textId="77777777">
      <w:pPr>
        <w:pStyle w:val="Bodytext2"/>
        <w:rPr>
          <w:color w:val="0F172B"/>
          <w:szCs w:val="15"/>
          <w:lang w:val="en-GB"/>
        </w:rPr>
      </w:pPr>
    </w:p>
    <w:p w:rsidR="00324119" w:rsidRPr="0049797B" w:rsidP="0049797B" w14:paraId="11D3EC63" w14:textId="77777777">
      <w:pPr>
        <w:pStyle w:val="Bodytext2"/>
      </w:pPr>
      <w:r w:rsidRPr="0049797B">
        <w:t>Non-controlling interests</w:t>
      </w:r>
      <w:r w:rsidRPr="0049797B">
        <w:t xml:space="preserve"> are not significant in the Group's activities and cash flows in individual subsidiaries.</w:t>
      </w:r>
    </w:p>
    <w:p w:rsidR="00324119" w:rsidRPr="0049797B" w:rsidP="0049797B" w14:paraId="0A2053D5" w14:textId="77777777">
      <w:pPr>
        <w:pStyle w:val="Bodytext2"/>
      </w:pPr>
    </w:p>
    <w:p w:rsidR="00324119" w:rsidRPr="0049797B" w:rsidP="0049797B" w14:paraId="153CB8E5" w14:textId="694D8580">
      <w:pPr>
        <w:pStyle w:val="Bodytext2"/>
      </w:pPr>
      <w:r w:rsidRPr="0049797B">
        <w:t>The list excludes subsidiaries, which do not have a significant impact on the profit or assets of the Group. A complete list of shares and securities in accordance w</w:t>
      </w:r>
      <w:r w:rsidRPr="0049797B">
        <w:t>ith the Finnish Accounting Ordinance is included in the official financial statements of the parent company prepared in accordance with the Finnish Accounting Standards (FAS).</w:t>
      </w:r>
    </w:p>
    <w:p/>
    <w:p w:rsidR="00E57F50" w:rsidP="00E57F50" w14:paraId="66795492" w14:textId="6008442A">
      <w:pPr>
        <w:pStyle w:val="Heading12"/>
      </w:pPr>
      <w:bookmarkStart w:id="1500" w:name="_Hlk59908343"/>
      <w:bookmarkStart w:id="1501" w:name="RG_MARKER_7319"/>
      <w:r>
        <w:t>6.6. EXCHANGE RATES</w:t>
      </w:r>
      <w:bookmarkEnd w:id="1501"/>
    </w:p>
    <w:tbl>
      <w:tblPr>
        <w:tblStyle w:val="TableGrid"/>
        <w:tblW w:w="7371" w:type="dxa"/>
        <w:tblLook w:val="04A0"/>
      </w:tblPr>
      <w:tblGrid>
        <w:gridCol w:w="7371"/>
      </w:tblGrid>
      <w:tr w14:paraId="736DDCFC" w14:textId="77777777" w:rsidTr="00E57F50">
        <w:tblPrEx>
          <w:tblW w:w="7371" w:type="dxa"/>
          <w:tblLook w:val="04A0"/>
        </w:tblPrEx>
        <w:tc>
          <w:tcPr>
            <w:tcW w:w="7371" w:type="dxa"/>
            <w:tcBorders>
              <w:top w:val="nil"/>
              <w:left w:val="nil"/>
              <w:bottom w:val="nil"/>
              <w:right w:val="nil"/>
            </w:tcBorders>
            <w:shd w:val="clear" w:color="auto" w:fill="B6C8D1"/>
          </w:tcPr>
          <w:p w:rsidR="00E57F50" w:rsidRPr="00601C87" w:rsidP="00E57F50" w14:paraId="57AE495E" w14:textId="77777777">
            <w:pPr>
              <w:pStyle w:val="Heading13"/>
              <w:rPr>
                <w:lang w:val="en-GB"/>
              </w:rPr>
            </w:pPr>
            <w:r w:rsidRPr="00155612">
              <w:rPr>
                <w:lang w:val="en-GB"/>
              </w:rPr>
              <w:t>Accounting principles</w:t>
            </w:r>
          </w:p>
          <w:p w:rsidR="00E57F50" w:rsidRPr="00601C87" w:rsidP="00E57F50" w14:paraId="54417D4E" w14:textId="77777777">
            <w:pPr>
              <w:pStyle w:val="Heading13"/>
              <w:rPr>
                <w:color w:val="0F172B"/>
                <w:lang w:val="en-GB"/>
              </w:rPr>
            </w:pPr>
            <w:r w:rsidRPr="00601C87">
              <w:rPr>
                <w:color w:val="0F172B"/>
                <w:lang w:val="en-GB"/>
              </w:rPr>
              <w:t>Translating the transactions in foreign currencies</w:t>
            </w:r>
          </w:p>
          <w:p w:rsidR="00E57F50" w:rsidRPr="000F33EA" w:rsidP="000F33EA" w14:paraId="6F70F139" w14:textId="77777777">
            <w:pPr>
              <w:pStyle w:val="Bodytext2"/>
              <w:rPr>
                <w:lang w:val="en-GB"/>
              </w:rPr>
            </w:pPr>
            <w:r w:rsidRPr="000F33EA">
              <w:rPr>
                <w:lang w:val="en-GB"/>
              </w:rPr>
              <w:t xml:space="preserve">The items included in the financial statements are initially recognised in the functional currency, which is defined for each Group company based on its </w:t>
            </w:r>
            <w:r w:rsidRPr="000F33EA">
              <w:rPr>
                <w:lang w:val="en-GB"/>
              </w:rPr>
              <w:t>primary economic environment. The presentation currency of the consolidated financial statements is the euro, which is also the functional and presentation currency of Wärtsilä Corporation.</w:t>
            </w:r>
          </w:p>
          <w:p w:rsidR="00E57F50" w:rsidRPr="00601C87" w:rsidP="00E57F50" w14:paraId="5AE31A61" w14:textId="77777777">
            <w:pPr>
              <w:pStyle w:val="Bodytext2"/>
              <w:rPr>
                <w:color w:val="0F172B"/>
                <w:lang w:val="en-GB"/>
              </w:rPr>
            </w:pPr>
          </w:p>
          <w:p w:rsidR="00E57F50" w:rsidRPr="00601C87" w:rsidP="00E57F50" w14:paraId="5577F30C" w14:textId="77777777">
            <w:pPr>
              <w:pStyle w:val="Heading13"/>
              <w:rPr>
                <w:lang w:val="en-GB"/>
              </w:rPr>
            </w:pPr>
            <w:r w:rsidRPr="00601C87">
              <w:rPr>
                <w:lang w:val="en-GB"/>
              </w:rPr>
              <w:t>Foreign subsidiaries</w:t>
            </w:r>
          </w:p>
          <w:p w:rsidR="00E57F50" w:rsidRPr="00FF12E6" w:rsidP="000F33EA" w14:paraId="75B3FE34" w14:textId="6E0A3717">
            <w:pPr>
              <w:pStyle w:val="Bodytext2"/>
              <w:rPr>
                <w:lang w:val="en-GB"/>
              </w:rPr>
            </w:pPr>
            <w:r w:rsidRPr="00FF12E6">
              <w:rPr>
                <w:lang w:val="en-GB"/>
              </w:rPr>
              <w:t>The income and expenses for statements of in</w:t>
            </w:r>
            <w:r w:rsidRPr="00FF12E6">
              <w:rPr>
                <w:lang w:val="en-GB"/>
              </w:rPr>
              <w:t xml:space="preserve">come and statements of comprehensive income of foreign subsidiaries are translated into euros at the quarterly average exchange rates. Statements of financial position are translated into euros at the exchange rates prevailing at the end of the </w:t>
            </w:r>
            <w:r>
              <w:rPr>
                <w:lang w:val="en-GB"/>
              </w:rPr>
              <w:t>reporting</w:t>
            </w:r>
            <w:r w:rsidRPr="00FF12E6">
              <w:rPr>
                <w:lang w:val="en-GB"/>
              </w:rPr>
              <w:t xml:space="preserve"> p</w:t>
            </w:r>
            <w:r w:rsidRPr="00FF12E6">
              <w:rPr>
                <w:lang w:val="en-GB"/>
              </w:rPr>
              <w:t xml:space="preserve">eriod. The translation of the profit for the </w:t>
            </w:r>
            <w:r>
              <w:rPr>
                <w:lang w:val="en-GB"/>
              </w:rPr>
              <w:t>reporting</w:t>
            </w:r>
            <w:r w:rsidRPr="00FF12E6">
              <w:rPr>
                <w:lang w:val="en-GB"/>
              </w:rPr>
              <w:t xml:space="preserve"> period and other comprehensive income using different exchange rates in the statement of comprehensive income and the statement of financial position causes translation differences, which are recognise</w:t>
            </w:r>
            <w:r w:rsidRPr="00FF12E6">
              <w:rPr>
                <w:lang w:val="en-GB"/>
              </w:rPr>
              <w:t>d in equity and in other comprehensive income as change. Translation differences of foreign subsidiaries’ acquisition cost eliminations and post-acquisition profits and losses are recognised in other comprehensive income and are presented as a separate ite</w:t>
            </w:r>
            <w:r w:rsidRPr="00FF12E6">
              <w:rPr>
                <w:lang w:val="en-GB"/>
              </w:rPr>
              <w:t>m in equity. The goodwill generated in the acquisition of foreign entities and their fair value adjustments of assets and liabilities are considered as assets and liabilities of foreign entities, which are translated into euros using the exchange rates pre</w:t>
            </w:r>
            <w:r w:rsidRPr="00FF12E6">
              <w:rPr>
                <w:lang w:val="en-GB"/>
              </w:rPr>
              <w:t xml:space="preserve">vailing at the end of the </w:t>
            </w:r>
            <w:r>
              <w:rPr>
                <w:lang w:val="en-GB"/>
              </w:rPr>
              <w:t>reporting</w:t>
            </w:r>
            <w:r w:rsidRPr="00FF12E6">
              <w:rPr>
                <w:lang w:val="en-GB"/>
              </w:rPr>
              <w:t xml:space="preserve"> period. When a foreign subsidiary is sold, the accumulated exchange rate differences recognised in the equity related to the subsidiary are recognised in the statement of income as a part of the gain or loss on sale.</w:t>
            </w:r>
          </w:p>
          <w:p w:rsidR="00E57F50" w:rsidRPr="00601C87" w:rsidP="00E57F50" w14:paraId="152C11D8" w14:textId="77777777">
            <w:pPr>
              <w:pStyle w:val="Bodytext2"/>
              <w:rPr>
                <w:color w:val="0F172B"/>
                <w:lang w:val="en-GB"/>
              </w:rPr>
            </w:pPr>
          </w:p>
          <w:p w:rsidR="00E57F50" w:rsidRPr="00601C87" w:rsidP="00E57F50" w14:paraId="56B5562C" w14:textId="77777777">
            <w:pPr>
              <w:pStyle w:val="Heading13"/>
              <w:rPr>
                <w:lang w:val="en-GB"/>
              </w:rPr>
            </w:pPr>
            <w:r w:rsidRPr="00601C87">
              <w:rPr>
                <w:lang w:val="en-GB"/>
              </w:rPr>
              <w:t>Tr</w:t>
            </w:r>
            <w:r w:rsidRPr="00601C87">
              <w:rPr>
                <w:lang w:val="en-GB"/>
              </w:rPr>
              <w:t>ansactions and balances in foreign currencies</w:t>
            </w:r>
          </w:p>
          <w:p w:rsidR="00E57F50" w:rsidRPr="00FF12E6" w:rsidP="000F33EA" w14:paraId="05B7B380" w14:textId="4E482FE2">
            <w:pPr>
              <w:pStyle w:val="Bodytext2"/>
              <w:rPr>
                <w:lang w:val="en-GB"/>
              </w:rPr>
            </w:pPr>
            <w:r w:rsidRPr="00FF12E6">
              <w:rPr>
                <w:lang w:val="en-GB"/>
              </w:rPr>
              <w:t xml:space="preserve">Transactions denominated in a foreign currency are translated into the functional currency using the exchange rate prevailing at the dates of the transactions. Receivables and liabilities are translated at the </w:t>
            </w:r>
            <w:r w:rsidRPr="00FF12E6">
              <w:rPr>
                <w:lang w:val="en-GB"/>
              </w:rPr>
              <w:t xml:space="preserve">exchange rate prevailing at the end of the </w:t>
            </w:r>
            <w:r>
              <w:rPr>
                <w:lang w:val="en-GB"/>
              </w:rPr>
              <w:t>reporting</w:t>
            </w:r>
            <w:r w:rsidRPr="00FF12E6">
              <w:rPr>
                <w:lang w:val="en-GB"/>
              </w:rPr>
              <w:t xml:space="preserve"> period. Exchange rate gains and losses related to trade receivables and liabilities are reported on the applicable line in the statement of income and are included in the operating result. Exchange rate </w:t>
            </w:r>
            <w:r w:rsidRPr="00FF12E6">
              <w:rPr>
                <w:lang w:val="en-GB"/>
              </w:rPr>
              <w:t>differences related to financial assets and financial liabilities are reported as financial items in the statement of income, except exchange rate differences related to non-current debt that is part of the Group's net investment in a subsidiary. Those are</w:t>
            </w:r>
            <w:r w:rsidRPr="00FF12E6">
              <w:rPr>
                <w:lang w:val="en-GB"/>
              </w:rPr>
              <w:t xml:space="preserve"> recognised in other comprehensive income and reported as translation differences in equity.</w:t>
            </w:r>
          </w:p>
        </w:tc>
      </w:tr>
    </w:tbl>
    <w:p w:rsidR="00E57F50" w:rsidP="00E57F50" w14:paraId="58C3A52F" w14:textId="77777777">
      <w:pPr>
        <w:pStyle w:val="Bodytext2"/>
        <w:rPr>
          <w:color w:val="0F172B"/>
        </w:rPr>
      </w:pPr>
    </w:p>
    <w:p w:rsidR="00E57F50" w:rsidRPr="000F33EA" w:rsidP="000F33EA" w14:paraId="64A4DCCE" w14:textId="77777777">
      <w:pPr>
        <w:pStyle w:val="Bodytext2"/>
      </w:pPr>
      <w:r w:rsidRPr="000F33EA">
        <w:t>In the consolidated financial statements, there are approximately 60 currencies consolidated. The most significant currencies are presented here.</w:t>
      </w:r>
    </w:p>
    <w:p w:rsidR="00E57F50" w:rsidP="00E57F50" w14:paraId="23B7B7C9" w14:textId="77777777">
      <w:pPr>
        <w:pStyle w:val="Bodytext2"/>
        <w:rPr>
          <w:color w:val="0F172B"/>
        </w:rPr>
      </w:pPr>
    </w:p>
    <w:tbl>
      <w:tblPr>
        <w:tblStyle w:val="TableNormal"/>
        <w:tblCaption w:val="table_66"/>
        <w:tblW w:w="7320" w:type="dxa"/>
        <w:tblLayout w:type="fixed"/>
        <w:tblLook w:val="0600"/>
      </w:tblPr>
      <w:tblGrid>
        <w:gridCol w:w="690"/>
        <w:gridCol w:w="2100"/>
        <w:gridCol w:w="1185"/>
        <w:gridCol w:w="1080"/>
        <w:gridCol w:w="1185"/>
        <w:gridCol w:w="1080"/>
      </w:tblGrid>
      <w:tr>
        <w:tblPrEx>
          <w:tblW w:w="7320" w:type="dxa"/>
          <w:tblLayout w:type="fixed"/>
          <w:tblLook w:val="0600"/>
        </w:tblPrEx>
        <w:trPr>
          <w:trHeight w:val="240"/>
        </w:trPr>
        <w:tc>
          <w:tcPr>
            <w:tcW w:w="69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10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265" w:type="dxa"/>
            <w:gridSpan w:val="2"/>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Closing rates</w:t>
            </w:r>
          </w:p>
        </w:tc>
        <w:tc>
          <w:tcPr>
            <w:tcW w:w="2265" w:type="dxa"/>
            <w:gridSpan w:val="2"/>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Average rates</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69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10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8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 December</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08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 December</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c>
          <w:tcPr>
            <w:tcW w:w="118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69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AED</w:t>
            </w:r>
          </w:p>
        </w:tc>
        <w:tc>
          <w:tcPr>
            <w:tcW w:w="210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UAE Dirham</w:t>
            </w:r>
          </w:p>
        </w:tc>
        <w:tc>
          <w:tcPr>
            <w:tcW w:w="118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4.15959</w:t>
            </w:r>
          </w:p>
        </w:tc>
        <w:tc>
          <w:tcPr>
            <w:tcW w:w="108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4.50689</w:t>
            </w:r>
          </w:p>
        </w:tc>
        <w:tc>
          <w:tcPr>
            <w:tcW w:w="118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4.34679</w:t>
            </w:r>
          </w:p>
        </w:tc>
        <w:tc>
          <w:tcPr>
            <w:tcW w:w="108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4.19169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69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AUD</w:t>
            </w:r>
          </w:p>
        </w:tc>
        <w:tc>
          <w:tcPr>
            <w:tcW w:w="210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Australian Dollar</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1.56150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1.58960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1.57473</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1.65540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BRL</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Brazilian Real</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6.31010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6.37350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6.38134</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5.89001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CHF</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Swiss Franc</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1.03310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1.08020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1.08142</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1.07031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CNY</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Yuan Renminbi</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7.19470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8.02250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7.63402</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7.87084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DKK</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Danish Krone</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7.43640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7.44090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7.43705</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7.45440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GBP</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Pound Sterling</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0.84028</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0.89903</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0.86000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0.88921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IDR</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Indonesian Rupiah</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16,100.42000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17,240.76000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16,928.51000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16,619.78000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INR</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Indian Rupee</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84.22920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89.66050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87.48609</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84.57954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JPY</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Yen</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130.38000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126.49000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129.85747</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121.77545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NOK</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Norwegian Krone</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9.98880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10.47030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10.16339</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10.72476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RUB</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Russian Ruble</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85.30040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91.46710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87.23206</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82.64545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SAR</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Saudi Riyal</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4.25155</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4.60347</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4.43897</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4.28208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SEK</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Swedish Krona</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10.25030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10.03430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10.14485</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10.48813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SGD</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Singapore Dollar</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1.52790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1.62180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1.58965</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1.57357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USD</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 Dollar</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1.13260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1.22710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1.18353</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1.14128</w:t>
            </w:r>
          </w:p>
        </w:tc>
      </w:tr>
    </w:tbl>
    <w:p w:rsidR="00E57F50" w:rsidRPr="00601C87" w:rsidP="00BA38AE" w14:paraId="4E5BB59C" w14:textId="7DF01ABA">
      <w:pPr>
        <w:pStyle w:val="Bodytext2"/>
        <w:rPr>
          <w:color w:val="auto"/>
          <w:sz w:val="2"/>
          <w:szCs w:val="2"/>
        </w:rPr>
      </w:pPr>
      <w:bookmarkEnd w:id="1500"/>
      <w:r>
        <w:rPr>
          <w:color w:val="0F172B"/>
        </w:rPr>
        <w:br w:type="column"/>
      </w:r>
    </w:p>
    <w:p w:rsidR="000157F5" w:rsidP="00520D95" w14:paraId="4EC05C03" w14:textId="77777777">
      <w:pPr>
        <w:pStyle w:val="Heading11"/>
      </w:pPr>
      <w:bookmarkStart w:id="1502" w:name="RG_MARKER_7253"/>
      <w:bookmarkStart w:id="1503" w:name="RG_MARKER_7311"/>
      <w:r>
        <w:rPr>
          <w:noProof/>
        </w:rPr>
        <w:drawing>
          <wp:anchor distT="0" distB="0" distL="114300" distR="114300" simplePos="0" relativeHeight="251674624" behindDoc="1" locked="0" layoutInCell="1" allowOverlap="1">
            <wp:simplePos x="0" y="0"/>
            <wp:positionH relativeFrom="page">
              <wp:posOffset>0</wp:posOffset>
            </wp:positionH>
            <wp:positionV relativeFrom="page">
              <wp:posOffset>1155940</wp:posOffset>
            </wp:positionV>
            <wp:extent cx="5115600" cy="5580000"/>
            <wp:effectExtent l="0" t="0" r="8890" b="1905"/>
            <wp:wrapNone/>
            <wp:docPr id="316417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104491" name="Picture 1"/>
                    <pic:cNvPicPr/>
                  </pic:nvPicPr>
                  <pic:blipFill>
                    <a:blip xmlns:r="http://schemas.openxmlformats.org/officeDocument/2006/relationships" r:embed="rId76">
                      <a:extLst>
                        <a:ext xmlns:a="http://schemas.openxmlformats.org/drawingml/2006/main" uri="{28A0092B-C50C-407E-A947-70E740481C1C}">
                          <a14:useLocalDpi xmlns:a14="http://schemas.microsoft.com/office/drawing/2010/main" val="0"/>
                        </a:ext>
                      </a:extLst>
                    </a:blip>
                    <a:stretch>
                      <a:fillRect/>
                    </a:stretch>
                  </pic:blipFill>
                  <pic:spPr>
                    <a:xfrm>
                      <a:off x="0" y="0"/>
                      <a:ext cx="5115600" cy="5580000"/>
                    </a:xfrm>
                    <a:prstGeom prst="rect">
                      <a:avLst/>
                    </a:prstGeom>
                  </pic:spPr>
                </pic:pic>
              </a:graphicData>
            </a:graphic>
            <wp14:sizeRelH relativeFrom="page">
              <wp14:pctWidth>0</wp14:pctWidth>
            </wp14:sizeRelH>
            <wp14:sizeRelV relativeFrom="page">
              <wp14:pctHeight>0</wp14:pctHeight>
            </wp14:sizeRelV>
          </wp:anchor>
        </w:drawing>
      </w:r>
      <w:bookmarkEnd w:id="1503"/>
      <w:bookmarkEnd w:id="1502"/>
    </w:p>
    <w:p w:rsidR="000157F5" w:rsidP="00520D95" w14:paraId="4496C870" w14:textId="77777777">
      <w:pPr>
        <w:pStyle w:val="Heading11"/>
      </w:pPr>
    </w:p>
    <w:p w:rsidR="000157F5" w:rsidP="00520D95" w14:paraId="6794595C" w14:textId="77777777">
      <w:pPr>
        <w:pStyle w:val="Heading11"/>
      </w:pPr>
    </w:p>
    <w:p w:rsidR="000157F5" w:rsidP="00520D95" w14:paraId="4135151C" w14:textId="77777777">
      <w:pPr>
        <w:pStyle w:val="Heading11"/>
      </w:pPr>
    </w:p>
    <w:p w:rsidR="000157F5" w:rsidP="00520D95" w14:paraId="2C77A239" w14:textId="77777777">
      <w:pPr>
        <w:pStyle w:val="Heading11"/>
      </w:pPr>
    </w:p>
    <w:p w:rsidR="00316E50" w:rsidP="00520D95" w14:paraId="04973063" w14:textId="77777777">
      <w:pPr>
        <w:pStyle w:val="Heading11"/>
      </w:pPr>
    </w:p>
    <w:p w:rsidR="00316E50" w:rsidP="00520D95" w14:paraId="37280AFA" w14:textId="77777777">
      <w:pPr>
        <w:pStyle w:val="Heading11"/>
      </w:pPr>
    </w:p>
    <w:p w:rsidR="00316E50" w:rsidP="00520D95" w14:paraId="1639D777" w14:textId="77777777">
      <w:pPr>
        <w:pStyle w:val="Heading11"/>
      </w:pPr>
    </w:p>
    <w:p w:rsidR="00316E50" w:rsidP="00520D95" w14:paraId="440B9E03" w14:textId="77777777">
      <w:pPr>
        <w:pStyle w:val="Heading11"/>
      </w:pPr>
    </w:p>
    <w:p w:rsidR="00316E50" w:rsidP="00520D95" w14:paraId="0CB9B242" w14:textId="77777777">
      <w:pPr>
        <w:pStyle w:val="Heading11"/>
      </w:pPr>
    </w:p>
    <w:p w:rsidR="00316E50" w:rsidP="00520D95" w14:paraId="4AF8474C" w14:textId="77777777">
      <w:pPr>
        <w:pStyle w:val="Heading11"/>
      </w:pPr>
    </w:p>
    <w:p w:rsidR="00316E50" w:rsidP="00520D95" w14:paraId="31D406BA" w14:textId="77777777">
      <w:pPr>
        <w:pStyle w:val="Heading11"/>
      </w:pPr>
    </w:p>
    <w:p w:rsidR="00316E50" w:rsidP="00520D95" w14:paraId="2E12D86D" w14:textId="77777777">
      <w:pPr>
        <w:pStyle w:val="Heading11"/>
      </w:pPr>
    </w:p>
    <w:p w:rsidR="00316E50" w:rsidP="00520D95" w14:paraId="240592AF" w14:textId="77777777">
      <w:pPr>
        <w:pStyle w:val="Heading11"/>
      </w:pPr>
    </w:p>
    <w:p w:rsidR="00316E50" w:rsidP="00520D95" w14:paraId="04D90930" w14:textId="77777777">
      <w:pPr>
        <w:pStyle w:val="Heading11"/>
      </w:pPr>
    </w:p>
    <w:p w:rsidR="00316E50" w:rsidP="00520D95" w14:paraId="1542201A" w14:textId="77777777">
      <w:pPr>
        <w:pStyle w:val="Heading11"/>
      </w:pPr>
    </w:p>
    <w:p w:rsidR="00316E50" w:rsidP="00520D95" w14:paraId="24D638A0" w14:textId="77777777">
      <w:pPr>
        <w:pStyle w:val="Heading11"/>
      </w:pPr>
    </w:p>
    <w:p w:rsidR="00520D95" w:rsidP="00520D95" w14:paraId="494707EC" w14:textId="77777777">
      <w:pPr>
        <w:pStyle w:val="Heading11"/>
      </w:pPr>
      <w:r>
        <w:t>7. OTHER NOTES</w:t>
      </w:r>
    </w:p>
    <w:p w:rsidR="00ED5116" w:rsidP="00ED5116" w14:paraId="4507D29C" w14:textId="77777777">
      <w:pPr>
        <w:pStyle w:val="Heading12"/>
        <w:rPr>
          <w:b w:val="0"/>
        </w:rPr>
      </w:pPr>
      <w:r>
        <w:rPr>
          <w:noProof/>
        </w:rPr>
        <mc:AlternateContent>
          <mc:Choice Requires="wps">
            <w:drawing>
              <wp:anchor distT="0" distB="0" distL="114300" distR="114300" simplePos="0" relativeHeight="251705344" behindDoc="0" locked="0" layoutInCell="1" allowOverlap="1">
                <wp:simplePos x="0" y="0"/>
                <wp:positionH relativeFrom="column">
                  <wp:posOffset>0</wp:posOffset>
                </wp:positionH>
                <wp:positionV relativeFrom="paragraph">
                  <wp:posOffset>53975</wp:posOffset>
                </wp:positionV>
                <wp:extent cx="4679950" cy="0"/>
                <wp:effectExtent l="19050" t="19050" r="25400" b="19050"/>
                <wp:wrapNone/>
                <wp:docPr id="17155368" name="Straight Connector 3"/>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3" o:spid="_x0000_s1045" style="mso-height-percent:0;mso-height-relative:page;mso-width-percent:0;mso-width-relative:margin;mso-wrap-distance-bottom:0;mso-wrap-distance-left:9pt;mso-wrap-distance-right:9pt;mso-wrap-distance-top:0;position:absolute;v-text-anchor:top;z-index:251704320" from="0,4.25pt" to="368.5pt,4.25pt" fillcolor="this" stroked="t" strokecolor="#99b7c4" strokeweight="2.25pt">
                <v:stroke endcap="round"/>
              </v:line>
            </w:pict>
          </mc:Fallback>
        </mc:AlternateContent>
      </w:r>
    </w:p>
    <w:p w:rsidR="00ED5116" w:rsidP="00ED5116" w14:paraId="58277766" w14:textId="77777777">
      <w:pPr>
        <w:pStyle w:val="Heading12"/>
        <w:rPr>
          <w:b w:val="0"/>
          <w:bCs/>
          <w:color w:val="99B7C4"/>
        </w:rPr>
      </w:pPr>
      <w:r>
        <w:rPr>
          <w:b w:val="0"/>
          <w:bCs/>
          <w:color w:val="99B7C4"/>
        </w:rPr>
        <w:t>Content in this section:</w:t>
      </w:r>
    </w:p>
    <w:p w:rsidR="00ED5116" w:rsidP="00ED5116" w14:paraId="7D1C5DE4" w14:textId="77777777">
      <w:pPr>
        <w:pStyle w:val="Heading12"/>
        <w:ind w:left="284"/>
        <w:rPr>
          <w:color w:val="99B7C4"/>
          <w:sz w:val="12"/>
          <w:szCs w:val="12"/>
        </w:rPr>
      </w:pPr>
    </w:p>
    <w:p w:rsidR="00ED5116" w:rsidP="00ED5116" w14:paraId="444AEBDD" w14:textId="407E05DF">
      <w:pPr>
        <w:pStyle w:val="Heading12"/>
        <w:ind w:left="284"/>
        <w:rPr>
          <w:color w:val="99B7C4"/>
        </w:rPr>
      </w:pPr>
      <w:r>
        <w:rPr>
          <w:color w:val="99B7C4"/>
        </w:rPr>
        <w:t>7.1. COLLATERAL, CONTINGENT LIABILITIES,</w:t>
      </w:r>
      <w:r>
        <w:rPr>
          <w:color w:val="99B7C4"/>
        </w:rPr>
        <w:t xml:space="preserve"> AND OTHER COMMITMENTS</w:t>
      </w:r>
    </w:p>
    <w:p w:rsidR="00ED5116" w:rsidP="00ED5116" w14:paraId="094756D4" w14:textId="77777777">
      <w:pPr>
        <w:pStyle w:val="Heading12"/>
        <w:ind w:left="284"/>
        <w:rPr>
          <w:color w:val="99B7C4"/>
        </w:rPr>
      </w:pPr>
      <w:r>
        <w:rPr>
          <w:color w:val="99B7C4"/>
        </w:rPr>
        <w:t>7.2. RELATED PARTY DISCLOSURES</w:t>
      </w:r>
    </w:p>
    <w:p w:rsidR="00ED5116" w:rsidP="00ED5116" w14:paraId="10DAB8D1" w14:textId="77777777">
      <w:pPr>
        <w:pStyle w:val="Heading12"/>
        <w:ind w:left="284"/>
        <w:rPr>
          <w:color w:val="99B7C4"/>
        </w:rPr>
      </w:pPr>
      <w:r>
        <w:rPr>
          <w:color w:val="99B7C4"/>
        </w:rPr>
        <w:t>7.3. AUDITORS’ FEES AND SERVICES</w:t>
      </w:r>
    </w:p>
    <w:p w:rsidR="00ED5116" w:rsidP="00ED5116" w14:paraId="31F0ED70" w14:textId="77777777">
      <w:pPr>
        <w:pStyle w:val="Heading12"/>
        <w:ind w:left="284"/>
        <w:rPr>
          <w:color w:val="99B7C4"/>
        </w:rPr>
      </w:pPr>
      <w:r>
        <w:rPr>
          <w:color w:val="99B7C4"/>
        </w:rPr>
        <w:t>7.4. EVENTS AFTER THE BALANCE SHEET DATE</w:t>
      </w:r>
    </w:p>
    <w:p w:rsidR="00ED5116" w:rsidP="00ED5116" w14:paraId="02D1AE6B" w14:textId="77777777">
      <w:pPr>
        <w:pStyle w:val="Bodytext2"/>
      </w:pPr>
      <w:r>
        <w:rPr>
          <w:noProof/>
        </w:rPr>
        <mc:AlternateContent>
          <mc:Choice Requires="wps">
            <w:drawing>
              <wp:anchor distT="0" distB="0" distL="114300" distR="114300" simplePos="0" relativeHeight="251691008" behindDoc="0" locked="0" layoutInCell="1" allowOverlap="1">
                <wp:simplePos x="0" y="0"/>
                <wp:positionH relativeFrom="column">
                  <wp:posOffset>0</wp:posOffset>
                </wp:positionH>
                <wp:positionV relativeFrom="paragraph">
                  <wp:posOffset>71755</wp:posOffset>
                </wp:positionV>
                <wp:extent cx="4679950" cy="0"/>
                <wp:effectExtent l="19050" t="19050" r="25400" b="19050"/>
                <wp:wrapNone/>
                <wp:docPr id="819747355" name="Straight Connector 2"/>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2" o:spid="_x0000_s1046" style="mso-height-percent:0;mso-height-relative:page;mso-width-percent:0;mso-width-relative:margin;mso-wrap-distance-bottom:0;mso-wrap-distance-left:9pt;mso-wrap-distance-right:9pt;mso-wrap-distance-top:0;position:absolute;v-text-anchor:top;z-index:251689984" from="0,5.65pt" to="368.5pt,5.65pt" fillcolor="this" stroked="t" strokecolor="#99b7c4" strokeweight="2.25pt">
                <v:stroke endcap="round"/>
              </v:line>
            </w:pict>
          </mc:Fallback>
        </mc:AlternateContent>
      </w:r>
    </w:p>
    <w:p w:rsidR="00ED5116" w:rsidP="00242746" w14:paraId="411CF259" w14:textId="77777777">
      <w:pPr>
        <w:pStyle w:val="Bodytext2"/>
      </w:pPr>
    </w:p>
    <w:p w:rsidR="00ED5116" w:rsidRPr="00ED5116" w:rsidP="00242746" w14:paraId="0E8A1202" w14:textId="77777777">
      <w:pPr>
        <w:pStyle w:val="Bodytext2"/>
      </w:pPr>
    </w:p>
    <w:p w:rsidR="00520D95" w:rsidP="00520D95" w14:paraId="61E1A0C1" w14:textId="77777777">
      <w:pPr>
        <w:pStyle w:val="Heading12"/>
      </w:pPr>
      <w:r>
        <w:t xml:space="preserve">7.1. </w:t>
      </w:r>
      <w:r>
        <w:t>COLLATERAL, CONTINGENT LIABILITIES, AND OTHER COMMITMENTS</w:t>
      </w:r>
    </w:p>
    <w:tbl>
      <w:tblPr>
        <w:tblStyle w:val="TableGrid"/>
        <w:tblW w:w="7371" w:type="dxa"/>
        <w:tblLook w:val="04A0"/>
      </w:tblPr>
      <w:tblGrid>
        <w:gridCol w:w="7371"/>
      </w:tblGrid>
      <w:tr w14:paraId="2D23DBA6" w14:textId="77777777" w:rsidTr="00520D95">
        <w:tblPrEx>
          <w:tblW w:w="7371" w:type="dxa"/>
          <w:tblLook w:val="04A0"/>
        </w:tblPrEx>
        <w:tc>
          <w:tcPr>
            <w:tcW w:w="7371" w:type="dxa"/>
            <w:tcBorders>
              <w:top w:val="nil"/>
              <w:left w:val="nil"/>
              <w:bottom w:val="nil"/>
              <w:right w:val="nil"/>
            </w:tcBorders>
            <w:shd w:val="clear" w:color="auto" w:fill="B6C8D1"/>
            <w:hideMark/>
          </w:tcPr>
          <w:p w:rsidR="00520D95" w:rsidRPr="00BC1BF2" w:rsidP="00520D95" w14:paraId="27E0F7A3" w14:textId="77777777">
            <w:pPr>
              <w:pStyle w:val="Heading13"/>
              <w:rPr>
                <w:lang w:val="en-GB"/>
              </w:rPr>
            </w:pPr>
            <w:r w:rsidRPr="007B76B4">
              <w:rPr>
                <w:lang w:val="en-GB"/>
              </w:rPr>
              <w:t>Accounting principles</w:t>
            </w:r>
          </w:p>
          <w:p w:rsidR="00520D95" w:rsidP="00520D95" w14:paraId="7C88F4CA" w14:textId="77777777">
            <w:pPr>
              <w:pStyle w:val="Bodytext2"/>
              <w:rPr>
                <w:color w:val="0F172B"/>
                <w:szCs w:val="15"/>
                <w:lang w:val="en-GB"/>
              </w:rPr>
            </w:pPr>
            <w:r>
              <w:rPr>
                <w:color w:val="0F172B"/>
                <w:szCs w:val="15"/>
                <w:lang w:val="en-GB"/>
              </w:rPr>
              <w:t>Contingent liabilities are possible obligations resulting from previous events, the existence of which will only be ascertained once the uncertain event that is beyond the Grou</w:t>
            </w:r>
            <w:r>
              <w:rPr>
                <w:color w:val="0F172B"/>
                <w:szCs w:val="15"/>
                <w:lang w:val="en-GB"/>
              </w:rPr>
              <w:t>p’s control materialises. Existing obligations that are not likely to require the fulfilment of a payment obligation, or the amount of which cannot be reliably determined, are also considered contingent liabilities.</w:t>
            </w:r>
          </w:p>
        </w:tc>
      </w:tr>
    </w:tbl>
    <w:p w:rsidR="00520D95" w:rsidP="00520D95" w14:paraId="53AE494B" w14:textId="77777777">
      <w:pPr>
        <w:pStyle w:val="Bodytext2"/>
        <w:rPr>
          <w:color w:val="0F172B"/>
          <w:szCs w:val="15"/>
          <w:lang w:val="en-GB"/>
        </w:rPr>
      </w:pPr>
    </w:p>
    <w:tbl>
      <w:tblPr>
        <w:tblStyle w:val="TableNormal"/>
        <w:tblCaption w:val="table_71_mortgages"/>
        <w:tblW w:w="7350" w:type="dxa"/>
        <w:tblLayout w:type="fixed"/>
        <w:tblLook w:val="0600"/>
      </w:tblPr>
      <w:tblGrid>
        <w:gridCol w:w="3030"/>
        <w:gridCol w:w="1080"/>
        <w:gridCol w:w="1080"/>
        <w:gridCol w:w="1080"/>
        <w:gridCol w:w="1080"/>
      </w:tblGrid>
      <w:tr>
        <w:tblPrEx>
          <w:tblW w:w="7350" w:type="dxa"/>
          <w:tblLayout w:type="fixed"/>
          <w:tblLook w:val="0600"/>
        </w:tblPrEx>
        <w:trPr>
          <w:trHeight w:val="240"/>
        </w:trPr>
        <w:tc>
          <w:tcPr>
            <w:tcW w:w="303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08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08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Debt in the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statement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of financial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position</w:t>
            </w:r>
          </w:p>
        </w:tc>
        <w:tc>
          <w:tcPr>
            <w:tcW w:w="108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Collateral</w:t>
            </w:r>
          </w:p>
        </w:tc>
        <w:tc>
          <w:tcPr>
            <w:tcW w:w="108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Debt in the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statement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of financial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position</w:t>
            </w:r>
          </w:p>
        </w:tc>
        <w:tc>
          <w:tcPr>
            <w:tcW w:w="108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Collateral</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Mortgages given as collateral for liabilities and commitments</w:t>
            </w: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nil"/>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commitments</w:t>
            </w:r>
          </w:p>
        </w:tc>
        <w:tc>
          <w:tcPr>
            <w:tcW w:w="1080"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1080"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108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108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08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108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108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108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Chattel mortgages and other pledges and securities given as collateral for liabilities and commitments</w:t>
            </w: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Loans from credit institutions</w:t>
            </w: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commitments</w:t>
            </w:r>
          </w:p>
        </w:tc>
        <w:tc>
          <w:tcPr>
            <w:tcW w:w="108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08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08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08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108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w:t>
            </w:r>
          </w:p>
        </w:tc>
      </w:tr>
    </w:tbl>
    <w:p w:rsidR="00520D95" w:rsidP="00520D95" w14:paraId="5DD41FB4" w14:textId="77777777">
      <w:pPr>
        <w:pStyle w:val="Bodytext2"/>
        <w:rPr>
          <w:color w:val="0F172B"/>
          <w:szCs w:val="15"/>
          <w:lang w:val="en-GB"/>
        </w:rPr>
      </w:pPr>
    </w:p>
    <w:tbl>
      <w:tblPr>
        <w:tblStyle w:val="TableNormal"/>
        <w:tblCaption w:val="table_71_guarantees"/>
        <w:tblW w:w="7350" w:type="dxa"/>
        <w:tblLayout w:type="fixed"/>
        <w:tblLook w:val="0600"/>
      </w:tblPr>
      <w:tblGrid>
        <w:gridCol w:w="3030"/>
        <w:gridCol w:w="1080"/>
        <w:gridCol w:w="1080"/>
        <w:gridCol w:w="1080"/>
        <w:gridCol w:w="1080"/>
      </w:tblGrid>
      <w:tr>
        <w:tblPrEx>
          <w:tblW w:w="7350" w:type="dxa"/>
          <w:tblLayout w:type="fixed"/>
          <w:tblLook w:val="0600"/>
        </w:tblPrEx>
        <w:trPr>
          <w:trHeight w:val="240"/>
        </w:trPr>
        <w:tc>
          <w:tcPr>
            <w:tcW w:w="30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 </w:t>
            </w:r>
          </w:p>
        </w:tc>
        <w:tc>
          <w:tcPr>
            <w:tcW w:w="108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Guarantees and contingent liabilities</w:t>
            </w: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8" w:space="0" w:color="0F172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on behalf of Group companies</w:t>
            </w: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1,065</w:t>
            </w:r>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887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nil"/>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080"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1,065</w:t>
            </w:r>
          </w:p>
        </w:tc>
        <w:tc>
          <w:tcPr>
            <w:tcW w:w="108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887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Nominal amounts of lease liabilities</w:t>
            </w: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190" w:type="dxa"/>
            <w:gridSpan w:val="3"/>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Low-value lease liabilities</w:t>
            </w: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190" w:type="dxa"/>
            <w:gridSpan w:val="3"/>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Short-term lease liabilities</w:t>
            </w: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190" w:type="dxa"/>
            <w:gridSpan w:val="3"/>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Leases not yet commenced, but to which Wärtsilä is committed</w:t>
            </w: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120</w:t>
            </w:r>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8" w:space="0" w:color="0F172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Residual value guarantee</w:t>
            </w: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30</w:t>
            </w: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166</w:t>
            </w:r>
          </w:p>
        </w:tc>
        <w:tc>
          <w:tcPr>
            <w:tcW w:w="108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201</w:t>
            </w:r>
          </w:p>
        </w:tc>
      </w:tr>
    </w:tbl>
    <w:p w:rsidR="00520D95" w:rsidRPr="00590B7E" w:rsidP="00BA38AE" w14:paraId="2DD131BB" w14:textId="77777777">
      <w:pPr>
        <w:pStyle w:val="Bodytext2"/>
        <w:rPr>
          <w:color w:val="0F172B"/>
          <w:sz w:val="2"/>
          <w:szCs w:val="2"/>
          <w:lang w:val="en-GB"/>
        </w:rPr>
      </w:pPr>
      <w:r>
        <w:t xml:space="preserve"> </w:t>
      </w:r>
    </w:p>
    <w:p/>
    <w:p w:rsidR="001A5711" w:rsidP="001A5711" w14:paraId="772C768D" w14:textId="77777777">
      <w:pPr>
        <w:pStyle w:val="Heading12"/>
      </w:pPr>
      <w:bookmarkStart w:id="1504" w:name="RG_MARKER_7312"/>
      <w:r>
        <w:t>7.2. RELATED PARTY DISCLOSURES</w:t>
      </w:r>
      <w:bookmarkEnd w:id="1504"/>
    </w:p>
    <w:p w:rsidR="001A5711" w:rsidRPr="001A5711" w:rsidP="001A5711" w14:paraId="7FCCF947" w14:textId="40BA85B1">
      <w:pPr>
        <w:pStyle w:val="Bodytext2"/>
      </w:pPr>
      <w:r w:rsidRPr="001A5711">
        <w:t>Related parties comprise the parent company, subsidiaries, the associated companies</w:t>
      </w:r>
      <w:r>
        <w:t>,</w:t>
      </w:r>
      <w:r w:rsidRPr="001A5711">
        <w:t xml:space="preserve"> and joint ventures. Related parties also include </w:t>
      </w:r>
      <w:r>
        <w:t xml:space="preserve">the </w:t>
      </w:r>
      <w:r w:rsidRPr="001A5711">
        <w:t xml:space="preserve">Board of Directors, the President and CEO, the Board of Management, their family </w:t>
      </w:r>
      <w:r w:rsidRPr="001A5711">
        <w:t>members</w:t>
      </w:r>
      <w:r>
        <w:t>,</w:t>
      </w:r>
      <w:r w:rsidRPr="001A5711">
        <w:t xml:space="preserve"> and entities controlled directly or indirectly by them.</w:t>
      </w:r>
    </w:p>
    <w:p w:rsidR="001A5711" w:rsidRPr="001A5711" w:rsidP="001A5711" w14:paraId="758414F2" w14:textId="77777777">
      <w:pPr>
        <w:pStyle w:val="Bodytext2"/>
      </w:pPr>
    </w:p>
    <w:p w:rsidR="001A5711" w:rsidP="001A5711" w14:paraId="1CEA2059" w14:textId="3E7B7B18">
      <w:pPr>
        <w:pStyle w:val="Heading13"/>
      </w:pPr>
      <w:r w:rsidRPr="001A5711">
        <w:t>Management remuneration</w:t>
      </w:r>
    </w:p>
    <w:p w:rsidR="001A5711" w:rsidRPr="001A5711" w:rsidP="001A5711" w14:paraId="222E2EBF" w14:textId="77777777">
      <w:pPr>
        <w:pStyle w:val="Bodytext2"/>
      </w:pPr>
    </w:p>
    <w:tbl>
      <w:tblPr>
        <w:tblStyle w:val="TableNormal"/>
        <w:tblCaption w:val="table_72_benefits"/>
        <w:tblW w:w="7320" w:type="dxa"/>
        <w:tblLayout w:type="fixed"/>
        <w:tblLook w:val="0600"/>
      </w:tblPr>
      <w:tblGrid>
        <w:gridCol w:w="4830"/>
        <w:gridCol w:w="1245"/>
        <w:gridCol w:w="1245"/>
      </w:tblGrid>
      <w:tr>
        <w:tblPrEx>
          <w:tblW w:w="7320" w:type="dxa"/>
          <w:tblLayout w:type="fixed"/>
          <w:tblLook w:val="0600"/>
        </w:tblPrEx>
        <w:trPr>
          <w:trHeight w:val="240"/>
        </w:trPr>
        <w:tc>
          <w:tcPr>
            <w:tcW w:w="483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490" w:type="dxa"/>
            <w:gridSpan w:val="2"/>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Benefits recognised in the statement of income</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President and CEO</w:t>
            </w: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Salaries and other short-term benefits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1,215</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843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Short-term incentive schemes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379</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Statutory pension costs</w:t>
            </w:r>
          </w:p>
        </w:tc>
        <w:tc>
          <w:tcPr>
            <w:tcW w:w="12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249</w:t>
            </w:r>
          </w:p>
        </w:tc>
        <w:tc>
          <w:tcPr>
            <w:tcW w:w="12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Voluntary pension costs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262</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members of the Board of Management</w:t>
            </w:r>
          </w:p>
        </w:tc>
        <w:tc>
          <w:tcPr>
            <w:tcW w:w="124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Salaries and other short-term benefits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2,623</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2,642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Short-term incentive schemes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790</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Statutory pension costs</w:t>
            </w:r>
          </w:p>
        </w:tc>
        <w:tc>
          <w:tcPr>
            <w:tcW w:w="12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346</w:t>
            </w:r>
          </w:p>
        </w:tc>
        <w:tc>
          <w:tcPr>
            <w:tcW w:w="12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Voluntary pension costs</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401</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6,266</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5,279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Board of Directors on 31 December 2021</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Tom Johnstone, Chairman</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160</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Risto Murto, Deputy Chairman</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123</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Maarit Aarni-Sirviö, member</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98</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Karen Bomba, member</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78</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Karin Falk, member</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78</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Johan Forssell, member</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83</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Mats Rahmström, member</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76</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Tiina Tuomela, member</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96</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Board of Directors, until 4 March 2021</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Markus Rauramo, Deputy Chairman</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Board of Directors, until 5 March 2020</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Kaj-Gustaf Bergh, member</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Mikael Lilius, member</w:t>
            </w:r>
          </w:p>
        </w:tc>
        <w:tc>
          <w:tcPr>
            <w:tcW w:w="12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791</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814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Management remuneration, total</w:t>
            </w:r>
          </w:p>
        </w:tc>
        <w:tc>
          <w:tcPr>
            <w:tcW w:w="1245" w:type="dxa"/>
            <w:tcBorders>
              <w:top w:val="single" w:sz="8" w:space="0" w:color="0F172B"/>
              <w:left w:val="nil"/>
              <w:bottom w:val="single" w:sz="8" w:space="0" w:color="000000"/>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7,057</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6,093</w:t>
            </w:r>
          </w:p>
        </w:tc>
      </w:tr>
    </w:tbl>
    <w:p w:rsidR="001A5711" w:rsidRPr="001A5711" w:rsidP="001A5711" w14:paraId="4A409C0C" w14:textId="77777777">
      <w:pPr>
        <w:pStyle w:val="Bodytext2"/>
      </w:pPr>
    </w:p>
    <w:p w:rsidR="001A5711" w:rsidRPr="001A5711" w:rsidP="001A5711" w14:paraId="2BAF67B4" w14:textId="581F1120">
      <w:pPr>
        <w:pStyle w:val="Bodytext2"/>
      </w:pPr>
      <w:r w:rsidRPr="001A5711">
        <w:t>The holdings of Wärtsilä shares of the President and CEO, and the members of the Board of Directors and Board of Management at year</w:t>
      </w:r>
      <w:r>
        <w:t>-</w:t>
      </w:r>
      <w:r w:rsidRPr="001A5711">
        <w:t xml:space="preserve">end were </w:t>
      </w:r>
      <w:r>
        <w:t>252,627</w:t>
      </w:r>
      <w:r w:rsidRPr="001A5711">
        <w:t xml:space="preserve"> shares (2</w:t>
      </w:r>
      <w:r>
        <w:t>38,875</w:t>
      </w:r>
      <w:r w:rsidRPr="001A5711">
        <w:t>).</w:t>
      </w:r>
    </w:p>
    <w:p w:rsidR="001A5711" w:rsidRPr="001A5711" w:rsidP="001A5711" w14:paraId="032A3B16" w14:textId="77777777">
      <w:pPr>
        <w:pStyle w:val="Bodytext2"/>
      </w:pPr>
    </w:p>
    <w:p w:rsidR="001A5711" w:rsidRPr="001A5711" w:rsidP="001A5711" w14:paraId="0629748A" w14:textId="77777777">
      <w:pPr>
        <w:pStyle w:val="Bodytext2"/>
      </w:pPr>
      <w:r w:rsidRPr="001A5711">
        <w:t>The President and CEO is entitled to retire on reaching 63 years of age. The members of the Board of Management are entitled to retire on reaching the statutory retirement age. One member of the Board of Management is entitled to</w:t>
      </w:r>
      <w:r w:rsidRPr="001A5711">
        <w:t xml:space="preserve"> retire earlier, on reaching 60 years of age. The Group has no loan receivables from the executive management or the Board of Directors. No pledges or other commitments have been given on behalf of management or shareholders.</w:t>
      </w:r>
    </w:p>
    <w:p w:rsidR="001A5711" w:rsidRPr="001A5711" w:rsidP="001A5711" w14:paraId="7F6898CA" w14:textId="77777777">
      <w:pPr>
        <w:pStyle w:val="Bodytext2"/>
      </w:pPr>
    </w:p>
    <w:p w:rsidR="001A5711" w:rsidRPr="001A5711" w:rsidP="001A5711" w14:paraId="6ABA793A" w14:textId="77777777">
      <w:pPr>
        <w:pStyle w:val="Heading13"/>
      </w:pPr>
      <w:r w:rsidRPr="001A5711">
        <w:t>Business transactions with th</w:t>
      </w:r>
      <w:r w:rsidRPr="001A5711">
        <w:t>e associated companies and joint ventures</w:t>
      </w:r>
    </w:p>
    <w:p w:rsidR="001A5711" w:rsidRPr="001A5711" w:rsidP="001A5711" w14:paraId="0EC9A0BB" w14:textId="77777777">
      <w:pPr>
        <w:pStyle w:val="Bodytext2"/>
      </w:pPr>
    </w:p>
    <w:tbl>
      <w:tblPr>
        <w:tblStyle w:val="TableNormal"/>
        <w:tblCaption w:val="table_72_ass_jv"/>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Sales to the associates and joint ventures</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Purchases from the associates and joint ventures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Receivables from the associates and joint ventures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Advances paid to the associates and joint ventures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Payables to the associates and joint ventures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bl>
    <w:p w:rsidR="001A5711" w:rsidP="001A5711" w14:paraId="5DC92BED" w14:textId="77777777">
      <w:pPr>
        <w:pStyle w:val="Bodytext2"/>
      </w:pPr>
    </w:p>
    <w:p w:rsidR="001A5711" w:rsidRPr="00BA38AE" w:rsidP="00BA38AE" w14:paraId="736555E2" w14:textId="60BDDCE9">
      <w:pPr>
        <w:pStyle w:val="Bodytext2"/>
      </w:pPr>
      <w:r>
        <w:t>Detailed financial information on the associated companies and joint ventures is presented in Note 6.4. Investments in associates and joint ventures.</w:t>
      </w:r>
    </w:p>
    <w:p/>
    <w:p w:rsidR="00380A48" w:rsidP="005F07AF" w14:paraId="68D24C3B" w14:textId="77777777">
      <w:pPr>
        <w:pStyle w:val="Heading12"/>
      </w:pPr>
      <w:bookmarkStart w:id="1505" w:name="RG_MARKER_7313"/>
      <w:r>
        <w:t>7.3. AUDITORS’ FEES AND SERVICES</w:t>
      </w:r>
      <w:bookmarkEnd w:id="1505"/>
    </w:p>
    <w:p w:rsidR="00380A48" w:rsidRPr="005F07AF" w:rsidP="005F07AF" w14:paraId="66C36C97" w14:textId="1FCE801C">
      <w:pPr>
        <w:pStyle w:val="Bodytext2"/>
      </w:pPr>
      <w:r w:rsidRPr="005F07AF">
        <w:t>The following remuneration was paid to auditors and accounting firms for audit</w:t>
      </w:r>
      <w:r>
        <w:t>s</w:t>
      </w:r>
      <w:r w:rsidRPr="005F07AF">
        <w:t xml:space="preserve"> based on applicable legislation and for other services.</w:t>
      </w:r>
    </w:p>
    <w:p w:rsidR="00380A48" w:rsidRPr="005F07AF" w:rsidP="005F07AF" w14:paraId="7229D20A" w14:textId="77777777">
      <w:pPr>
        <w:pStyle w:val="Bodytext2"/>
      </w:pPr>
    </w:p>
    <w:p w:rsidR="00380A48" w:rsidRPr="005F07AF" w:rsidP="005F07AF" w14:paraId="496BCD22" w14:textId="74131524">
      <w:pPr>
        <w:pStyle w:val="Bodytext2"/>
      </w:pPr>
      <w:r w:rsidRPr="005F07AF">
        <w:t>In 202</w:t>
      </w:r>
      <w:r>
        <w:t>1</w:t>
      </w:r>
      <w:r w:rsidRPr="005F07AF">
        <w:t xml:space="preserve">, the AGM appointed the audit firm PricewaterhouseCoopers Oy as Wärtsilä Corporation's auditor. PricewaterhouseCoopers Oy has provided non-audit services </w:t>
      </w:r>
      <w:r>
        <w:t xml:space="preserve">totalling EUR 0.3 million </w:t>
      </w:r>
      <w:r w:rsidRPr="005F07AF">
        <w:t>to entities of Wärtsilä Group. These services included tax services (</w:t>
      </w:r>
      <w:r>
        <w:t>EUR 0.2</w:t>
      </w:r>
      <w:r>
        <w:t xml:space="preserve"> million</w:t>
      </w:r>
      <w:r w:rsidRPr="005F07AF">
        <w:t xml:space="preserve">) and </w:t>
      </w:r>
      <w:r>
        <w:t xml:space="preserve">minor amount related to </w:t>
      </w:r>
      <w:r w:rsidRPr="005F07AF">
        <w:t>other services.</w:t>
      </w:r>
    </w:p>
    <w:p w:rsidR="00380A48" w:rsidRPr="005F07AF" w:rsidP="005F07AF" w14:paraId="47A962CC" w14:textId="77777777">
      <w:pPr>
        <w:pStyle w:val="Bodytext2"/>
      </w:pPr>
    </w:p>
    <w:tbl>
      <w:tblPr>
        <w:tblStyle w:val="TableNormal"/>
        <w:tblCaption w:val="table_73"/>
        <w:tblW w:w="7350" w:type="dxa"/>
        <w:tblLayout w:type="fixed"/>
        <w:tblLook w:val="0600"/>
      </w:tblPr>
      <w:tblGrid>
        <w:gridCol w:w="3030"/>
        <w:gridCol w:w="1080"/>
        <w:gridCol w:w="1080"/>
        <w:gridCol w:w="1080"/>
        <w:gridCol w:w="1080"/>
      </w:tblGrid>
      <w:tr>
        <w:tblPrEx>
          <w:tblW w:w="7350" w:type="dxa"/>
          <w:tblLayout w:type="fixed"/>
          <w:tblLook w:val="0600"/>
        </w:tblPrEx>
        <w:trPr>
          <w:trHeight w:hRule="exact" w:val="240"/>
        </w:trPr>
        <w:tc>
          <w:tcPr>
            <w:tcW w:w="303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08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08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PwC</w:t>
            </w: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Others</w:t>
            </w: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PwC</w:t>
            </w: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Others</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Audit</w:t>
            </w:r>
          </w:p>
        </w:tc>
        <w:tc>
          <w:tcPr>
            <w:tcW w:w="108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3.6</w:t>
            </w:r>
          </w:p>
        </w:tc>
        <w:tc>
          <w:tcPr>
            <w:tcW w:w="108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0.8</w:t>
            </w:r>
          </w:p>
        </w:tc>
        <w:tc>
          <w:tcPr>
            <w:tcW w:w="108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c>
          <w:tcPr>
            <w:tcW w:w="108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Tax advisory</w:t>
            </w: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0.2</w:t>
            </w: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0.1</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0.3</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services</w:t>
            </w:r>
          </w:p>
        </w:tc>
        <w:tc>
          <w:tcPr>
            <w:tcW w:w="108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0.0</w:t>
            </w:r>
          </w:p>
        </w:tc>
        <w:tc>
          <w:tcPr>
            <w:tcW w:w="108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0.0</w:t>
            </w:r>
          </w:p>
        </w:tc>
        <w:tc>
          <w:tcPr>
            <w:tcW w:w="108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0.1</w:t>
            </w:r>
          </w:p>
        </w:tc>
        <w:tc>
          <w:tcPr>
            <w:tcW w:w="108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08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w:t>
            </w:r>
          </w:p>
        </w:tc>
        <w:tc>
          <w:tcPr>
            <w:tcW w:w="108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108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4.6</w:t>
            </w:r>
          </w:p>
        </w:tc>
        <w:tc>
          <w:tcPr>
            <w:tcW w:w="108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0.7</w:t>
            </w:r>
          </w:p>
        </w:tc>
      </w:tr>
    </w:tbl>
    <w:p/>
    <w:p w:rsidR="00380A48" w:rsidP="005F07AF" w14:textId="6C0594B2">
      <w:pPr>
        <w:pStyle w:val="Heading12"/>
      </w:pPr>
      <w:bookmarkStart w:id="1506" w:name="RG_MARKER_7518"/>
      <w:r>
        <w:t>7.4. EVENTS AFTER THE BALANCE SHEET DATE</w:t>
      </w:r>
      <w:bookmarkEnd w:id="1506"/>
    </w:p>
    <w:p w:rsidR="00774DCC" w:rsidP="00774DCC" w14:paraId="12F68907" w14:textId="5A81A998">
      <w:pPr>
        <w:pStyle w:val="Bodytext2"/>
      </w:pPr>
    </w:p>
    <w:p w:rsidR="004B4CF9" w:rsidP="00774DCC" w14:paraId="3B540396" w14:textId="026A5884">
      <w:pPr>
        <w:pStyle w:val="Bodytext2"/>
      </w:pPr>
      <w:r w:rsidRPr="004B4CF9">
        <w:t>On 14 January 2022</w:t>
      </w:r>
      <w:r>
        <w:t>,</w:t>
      </w:r>
      <w:r w:rsidRPr="004B4CF9">
        <w:t xml:space="preserve"> Wärtsilä has divested Tank Control Systems business unit to Svanehøj, a Danish gas pump specialist.</w:t>
      </w:r>
    </w:p>
    <w:p w:rsidR="004B4CF9" w:rsidRPr="00774DCC" w:rsidP="00774DCC" w14:paraId="0C63BB43" w14:textId="77777777">
      <w:pPr>
        <w:pStyle w:val="Bodytext2"/>
      </w:pPr>
    </w:p>
    <w:p w:rsidR="000A10FB" w:rsidP="004B4CF9" w14:paraId="484016F5" w14:textId="030665D2">
      <w:pPr>
        <w:pStyle w:val="Bodytext2"/>
      </w:pPr>
      <w:r w:rsidRPr="00774DCC">
        <w:t xml:space="preserve">The event is not expected to have a </w:t>
      </w:r>
      <w:r>
        <w:t>significant</w:t>
      </w:r>
      <w:r w:rsidRPr="00774DCC">
        <w:t xml:space="preserve"> impact on the profit for the financial period 202</w:t>
      </w:r>
      <w:r w:rsidR="004B4CF9">
        <w:t>2</w:t>
      </w:r>
      <w:r w:rsidRPr="00774DCC">
        <w:t>.</w:t>
      </w:r>
      <w:r>
        <w:br w:type="page"/>
      </w:r>
    </w:p>
    <w:p w:rsidR="00380A48" w:rsidRPr="000A10FB" w:rsidP="005F07AF" w14:paraId="701D5679" w14:textId="77777777">
      <w:pPr>
        <w:pStyle w:val="Bodytext2"/>
        <w:rPr>
          <w:sz w:val="2"/>
          <w:szCs w:val="2"/>
        </w:rPr>
      </w:pPr>
      <w:r>
        <w:t xml:space="preserve"> </w:t>
      </w:r>
    </w:p>
    <w:p w:rsidR="00450910" w:rsidP="00EC7DB0" w14:paraId="0507619D" w14:textId="093B305E">
      <w:pPr>
        <w:pStyle w:val="Heading10"/>
      </w:pPr>
      <w:bookmarkStart w:id="1507" w:name="RG_MARKER_7356"/>
      <w:bookmarkStart w:id="1508" w:name="RG_MARKER_7153"/>
      <w:r>
        <w:t>PARENT COMPANY FINANCIAL STATEMENTS (FAS)</w:t>
      </w:r>
      <w:bookmarkEnd w:id="1508"/>
      <w:bookmarkEnd w:id="1507"/>
    </w:p>
    <w:p w:rsidR="00EC7DB0" w:rsidRPr="00EC7DB0" w:rsidP="00EC7DB0" w14:paraId="49A57A10" w14:textId="08A6E0B6">
      <w:pPr>
        <w:pStyle w:val="Heading10"/>
      </w:pPr>
      <w:r w:rsidRPr="00EC7DB0">
        <w:t>PARENT COMPANY INCOME STATEMENT</w:t>
      </w:r>
    </w:p>
    <w:tbl>
      <w:tblPr>
        <w:tblStyle w:val="TableNormal"/>
        <w:tblCaption w:val="parent_IS"/>
        <w:tblDescription w:val="Parent company income statement (FAS)"/>
        <w:tblW w:w="7365" w:type="dxa"/>
        <w:tblLayout w:type="fixed"/>
        <w:tblLook w:val="0600"/>
      </w:tblPr>
      <w:tblGrid>
        <w:gridCol w:w="4185"/>
        <w:gridCol w:w="1365"/>
        <w:gridCol w:w="1365"/>
        <w:gridCol w:w="45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365"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36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c>
          <w:tcPr>
            <w:tcW w:w="45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Note</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Other operating income</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109</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93</w:t>
            </w:r>
          </w:p>
        </w:tc>
        <w:tc>
          <w:tcPr>
            <w:tcW w:w="4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Personnel expenses</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-45</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w:t>
            </w:r>
          </w:p>
        </w:tc>
        <w:tc>
          <w:tcPr>
            <w:tcW w:w="4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Depreciation, amortisation and impairments</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c>
          <w:tcPr>
            <w:tcW w:w="4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operating expenses</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-92</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-89</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Operating result </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-33</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Financial income and expenses</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226</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305</w:t>
            </w:r>
          </w:p>
        </w:tc>
        <w:tc>
          <w:tcPr>
            <w:tcW w:w="4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Result before appropriations and taxes</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194</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266</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Appropriations</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Result before taxes</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194</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268</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Income taxes</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4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Result for the financial period</w:t>
            </w:r>
          </w:p>
        </w:tc>
        <w:tc>
          <w:tcPr>
            <w:tcW w:w="1365" w:type="dxa"/>
            <w:tcBorders>
              <w:top w:val="single" w:sz="8" w:space="0" w:color="0F172B"/>
              <w:left w:val="nil"/>
              <w:bottom w:val="single" w:sz="8"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188</w:t>
            </w:r>
          </w:p>
        </w:tc>
        <w:tc>
          <w:tcPr>
            <w:tcW w:w="136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265</w:t>
            </w:r>
          </w:p>
        </w:tc>
        <w:tc>
          <w:tcPr>
            <w:tcW w:w="450" w:type="dxa"/>
            <w:tcBorders>
              <w:top w:val="single" w:sz="8" w:space="0" w:color="0F172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bl>
    <w:p w:rsidR="00EC7DB0" w:rsidRPr="00603A67" w:rsidP="000D79A6" w14:paraId="6C488270" w14:textId="77777777">
      <w:pPr>
        <w:pStyle w:val="Bodytext2"/>
        <w:spacing w:before="0"/>
        <w:rPr>
          <w:rFonts w:asciiTheme="minorHAnsi" w:hAnsiTheme="minorHAnsi" w:cstheme="minorHAnsi"/>
          <w:sz w:val="2"/>
          <w:szCs w:val="2"/>
        </w:rPr>
      </w:pPr>
      <w:r w:rsidRPr="000D79A6">
        <w:rPr>
          <w:rFonts w:asciiTheme="minorHAnsi" w:hAnsiTheme="minorHAnsi" w:cstheme="minorHAnsi"/>
          <w:sz w:val="2"/>
          <w:szCs w:val="2"/>
        </w:rPr>
        <w:br w:type="column"/>
      </w:r>
    </w:p>
    <w:p w:rsidR="00EC7DB0" w:rsidRPr="00EC7DB0" w:rsidP="00BA38AE" w14:paraId="3856081C" w14:textId="77777777">
      <w:pPr>
        <w:pStyle w:val="Bodytext2"/>
        <w:rPr>
          <w:sz w:val="2"/>
          <w:szCs w:val="2"/>
        </w:rPr>
      </w:pPr>
      <w:r>
        <w:t xml:space="preserve"> </w:t>
      </w:r>
    </w:p>
    <w:p w:rsidR="00AA558F" w:rsidP="00AA558F" w14:paraId="47DA9397" w14:textId="77777777">
      <w:pPr>
        <w:pStyle w:val="Heading10"/>
      </w:pPr>
      <w:bookmarkStart w:id="1509" w:name="RG_MARKER_7357"/>
      <w:r>
        <w:t>PARENT COMPANY BALANCE SHEET</w:t>
      </w:r>
      <w:bookmarkEnd w:id="1509"/>
    </w:p>
    <w:tbl>
      <w:tblPr>
        <w:tblStyle w:val="TableNormal"/>
        <w:tblCaption w:val="parent_BS_1"/>
        <w:tblDescription w:val="Parent company balance sheet (FAS)"/>
        <w:tblW w:w="7365" w:type="dxa"/>
        <w:tblLayout w:type="fixed"/>
        <w:tblLook w:val="0600"/>
      </w:tblPr>
      <w:tblGrid>
        <w:gridCol w:w="4185"/>
        <w:gridCol w:w="1365"/>
        <w:gridCol w:w="1365"/>
        <w:gridCol w:w="45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365" w:type="dxa"/>
            <w:tcBorders>
              <w:top w:val="nil"/>
              <w:left w:val="nil"/>
              <w:bottom w:val="single" w:sz="8"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36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c>
          <w:tcPr>
            <w:tcW w:w="45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Note</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8" w:space="0" w:color="000000"/>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ASSETS</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Fixed assets</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Intangible assets</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long-term expenditure</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Intangable assets and construction in progress</w:t>
            </w:r>
          </w:p>
        </w:tc>
        <w:tc>
          <w:tcPr>
            <w:tcW w:w="136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36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45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136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c>
          <w:tcPr>
            <w:tcW w:w="4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Tangible assets</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Land and water</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Machinery, equipment and other tangible assets</w:t>
            </w:r>
          </w:p>
        </w:tc>
        <w:tc>
          <w:tcPr>
            <w:tcW w:w="136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36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45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36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c>
          <w:tcPr>
            <w:tcW w:w="4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Financial assets</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Shares in Group companies</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950</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950</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shares and securities</w:t>
            </w:r>
          </w:p>
        </w:tc>
        <w:tc>
          <w:tcPr>
            <w:tcW w:w="136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36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45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952</w:t>
            </w:r>
          </w:p>
        </w:tc>
        <w:tc>
          <w:tcPr>
            <w:tcW w:w="136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951</w:t>
            </w:r>
          </w:p>
        </w:tc>
        <w:tc>
          <w:tcPr>
            <w:tcW w:w="4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fixed assets</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968</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969</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Non-current receivables</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Receivables from Group companies</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90</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w:t>
            </w:r>
          </w:p>
        </w:tc>
        <w:tc>
          <w:tcPr>
            <w:tcW w:w="4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Loan receivables</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45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00000"/>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long-term receivables</w:t>
            </w:r>
          </w:p>
        </w:tc>
        <w:tc>
          <w:tcPr>
            <w:tcW w:w="136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365" w:type="dxa"/>
            <w:tcBorders>
              <w:top w:val="single" w:sz="4" w:space="0" w:color="004A6B"/>
              <w:left w:val="nil"/>
              <w:bottom w:val="single" w:sz="8" w:space="0" w:color="000000"/>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8" w:space="0" w:color="000000"/>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00000"/>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92</w:t>
            </w:r>
          </w:p>
        </w:tc>
        <w:tc>
          <w:tcPr>
            <w:tcW w:w="1365" w:type="dxa"/>
            <w:tcBorders>
              <w:top w:val="single" w:sz="8" w:space="0" w:color="000000"/>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91</w:t>
            </w:r>
          </w:p>
        </w:tc>
        <w:tc>
          <w:tcPr>
            <w:tcW w:w="450" w:type="dxa"/>
            <w:tcBorders>
              <w:top w:val="single" w:sz="8" w:space="0" w:color="000000"/>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1365" w:type="dxa"/>
            <w:tcBorders>
              <w:top w:val="single" w:sz="4" w:space="0" w:color="004A6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1365" w:type="dxa"/>
            <w:tcBorders>
              <w:top w:val="single" w:sz="4" w:space="0" w:color="004A6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450" w:type="dxa"/>
            <w:tcBorders>
              <w:top w:val="single" w:sz="4" w:space="0" w:color="004A6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136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136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450"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136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136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450"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136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136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450"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136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136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450"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70"/>
        </w:trPr>
        <w:tc>
          <w:tcPr>
            <w:tcW w:w="4185" w:type="dxa"/>
            <w:tcBorders>
              <w:top w:val="nil"/>
              <w:left w:val="nil"/>
              <w:bottom w:val="single" w:sz="4" w:space="0" w:color="000000"/>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 receivables</w:t>
            </w:r>
          </w:p>
        </w:tc>
        <w:tc>
          <w:tcPr>
            <w:tcW w:w="1365" w:type="dxa"/>
            <w:tcBorders>
              <w:top w:val="nil"/>
              <w:left w:val="nil"/>
              <w:bottom w:val="single" w:sz="4" w:space="0" w:color="000000"/>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nil"/>
              <w:left w:val="nil"/>
              <w:bottom w:val="single" w:sz="4" w:space="0" w:color="000000"/>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nil"/>
              <w:left w:val="nil"/>
              <w:bottom w:val="single" w:sz="4" w:space="0" w:color="000000"/>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70"/>
        </w:trPr>
        <w:tc>
          <w:tcPr>
            <w:tcW w:w="4185" w:type="dxa"/>
            <w:tcBorders>
              <w:top w:val="single" w:sz="4" w:space="0" w:color="000000"/>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receivables</w:t>
            </w:r>
          </w:p>
        </w:tc>
        <w:tc>
          <w:tcPr>
            <w:tcW w:w="1365" w:type="dxa"/>
            <w:tcBorders>
              <w:top w:val="single" w:sz="4" w:space="0" w:color="000000"/>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0000"/>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450" w:type="dxa"/>
            <w:tcBorders>
              <w:top w:val="single" w:sz="4" w:space="0" w:color="000000"/>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Receivables from Group companies</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1,776</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1,846</w:t>
            </w:r>
          </w:p>
        </w:tc>
        <w:tc>
          <w:tcPr>
            <w:tcW w:w="4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receivables</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Prepaid expenses and accrued income</w:t>
            </w:r>
          </w:p>
        </w:tc>
        <w:tc>
          <w:tcPr>
            <w:tcW w:w="136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c>
          <w:tcPr>
            <w:tcW w:w="136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w:t>
            </w:r>
          </w:p>
        </w:tc>
        <w:tc>
          <w:tcPr>
            <w:tcW w:w="45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1,798</w:t>
            </w:r>
          </w:p>
        </w:tc>
        <w:tc>
          <w:tcPr>
            <w:tcW w:w="136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1,889</w:t>
            </w:r>
          </w:p>
        </w:tc>
        <w:tc>
          <w:tcPr>
            <w:tcW w:w="4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Cash and bank balances</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685</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699</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current assets</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2,575</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2,680</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Assets</w:t>
            </w:r>
          </w:p>
        </w:tc>
        <w:tc>
          <w:tcPr>
            <w:tcW w:w="1365"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3,543</w:t>
            </w:r>
          </w:p>
        </w:tc>
        <w:tc>
          <w:tcPr>
            <w:tcW w:w="136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3,649</w:t>
            </w:r>
          </w:p>
        </w:tc>
        <w:tc>
          <w:tcPr>
            <w:tcW w:w="450" w:type="dxa"/>
            <w:tcBorders>
              <w:top w:val="single" w:sz="8" w:space="0" w:color="0F172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bl>
    <w:p w:rsidR="00AA558F" w:rsidP="00AA558F" w14:paraId="303467E2" w14:textId="77777777">
      <w:pPr>
        <w:pStyle w:val="Bodytext2"/>
      </w:pPr>
    </w:p>
    <w:tbl>
      <w:tblPr>
        <w:tblStyle w:val="TableNormal"/>
        <w:tblCaption w:val="parent_BS_2"/>
        <w:tblW w:w="7365" w:type="dxa"/>
        <w:tblLayout w:type="fixed"/>
        <w:tblLook w:val="0600"/>
      </w:tblPr>
      <w:tblGrid>
        <w:gridCol w:w="4185"/>
        <w:gridCol w:w="1365"/>
        <w:gridCol w:w="1365"/>
        <w:gridCol w:w="45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365" w:type="dxa"/>
            <w:tcBorders>
              <w:top w:val="nil"/>
              <w:left w:val="nil"/>
              <w:bottom w:val="single" w:sz="8"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36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c>
          <w:tcPr>
            <w:tcW w:w="45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Note</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8" w:space="0" w:color="000000"/>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EQUITY AND LIABILITIES</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Equity</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Share capital</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336</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336</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Share premium reserve</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61</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Reserve for own shares</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Retained earnings</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856</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709</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Result for the financial period</w:t>
            </w:r>
          </w:p>
        </w:tc>
        <w:tc>
          <w:tcPr>
            <w:tcW w:w="136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188</w:t>
            </w:r>
          </w:p>
        </w:tc>
        <w:tc>
          <w:tcPr>
            <w:tcW w:w="136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265</w:t>
            </w:r>
          </w:p>
        </w:tc>
        <w:tc>
          <w:tcPr>
            <w:tcW w:w="45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equity</w:t>
            </w:r>
          </w:p>
        </w:tc>
        <w:tc>
          <w:tcPr>
            <w:tcW w:w="1365"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1,423</w:t>
            </w:r>
          </w:p>
        </w:tc>
        <w:tc>
          <w:tcPr>
            <w:tcW w:w="136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1,371</w:t>
            </w:r>
          </w:p>
        </w:tc>
        <w:tc>
          <w:tcPr>
            <w:tcW w:w="4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Accumulated appropriations</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Depreciation difference</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Provisions</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Liabilities</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Non-current</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Loans from credit institutions</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694</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953</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00000"/>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long-term liabilities</w:t>
            </w:r>
          </w:p>
        </w:tc>
        <w:tc>
          <w:tcPr>
            <w:tcW w:w="1365" w:type="dxa"/>
            <w:tcBorders>
              <w:top w:val="single" w:sz="4" w:space="0" w:color="004A6B"/>
              <w:left w:val="nil"/>
              <w:bottom w:val="single" w:sz="8"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365" w:type="dxa"/>
            <w:tcBorders>
              <w:top w:val="single" w:sz="4" w:space="0" w:color="004A6B"/>
              <w:left w:val="nil"/>
              <w:bottom w:val="single" w:sz="8" w:space="0" w:color="000000"/>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8" w:space="0" w:color="000000"/>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00000"/>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365" w:type="dxa"/>
            <w:tcBorders>
              <w:top w:val="single" w:sz="8" w:space="0" w:color="000000"/>
              <w:left w:val="nil"/>
              <w:bottom w:val="nil"/>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695</w:t>
            </w:r>
          </w:p>
        </w:tc>
        <w:tc>
          <w:tcPr>
            <w:tcW w:w="1365" w:type="dxa"/>
            <w:tcBorders>
              <w:top w:val="single" w:sz="8" w:space="0" w:color="000000"/>
              <w:left w:val="nil"/>
              <w:bottom w:val="nil"/>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953</w:t>
            </w:r>
          </w:p>
        </w:tc>
        <w:tc>
          <w:tcPr>
            <w:tcW w:w="450" w:type="dxa"/>
            <w:tcBorders>
              <w:top w:val="single" w:sz="8" w:space="0" w:color="000000"/>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nil"/>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w:t>
            </w:r>
          </w:p>
        </w:tc>
        <w:tc>
          <w:tcPr>
            <w:tcW w:w="1365" w:type="dxa"/>
            <w:tcBorders>
              <w:top w:val="nil"/>
              <w:left w:val="nil"/>
              <w:bottom w:val="single" w:sz="4" w:space="0" w:color="000000"/>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nil"/>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nil"/>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Loans from credit institutions</w:t>
            </w:r>
          </w:p>
        </w:tc>
        <w:tc>
          <w:tcPr>
            <w:tcW w:w="1365" w:type="dxa"/>
            <w:tcBorders>
              <w:top w:val="single" w:sz="4" w:space="0" w:color="000000"/>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70</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130</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payables</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Liabilities to Group companies</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1,294</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1,129</w:t>
            </w:r>
          </w:p>
        </w:tc>
        <w:tc>
          <w:tcPr>
            <w:tcW w:w="4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current liabilities</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Accrued expenses and deferred income</w:t>
            </w:r>
          </w:p>
        </w:tc>
        <w:tc>
          <w:tcPr>
            <w:tcW w:w="1365" w:type="dxa"/>
            <w:tcBorders>
              <w:top w:val="single" w:sz="4" w:space="0" w:color="004A6B"/>
              <w:left w:val="nil"/>
              <w:bottom w:val="single" w:sz="8"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w:t>
            </w:r>
          </w:p>
        </w:tc>
        <w:tc>
          <w:tcPr>
            <w:tcW w:w="136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44</w:t>
            </w:r>
          </w:p>
        </w:tc>
        <w:tc>
          <w:tcPr>
            <w:tcW w:w="45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365" w:type="dxa"/>
            <w:tcBorders>
              <w:top w:val="single" w:sz="8" w:space="0" w:color="000000"/>
              <w:left w:val="nil"/>
              <w:bottom w:val="single" w:sz="4"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1,416</w:t>
            </w:r>
          </w:p>
        </w:tc>
        <w:tc>
          <w:tcPr>
            <w:tcW w:w="136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1,310</w:t>
            </w:r>
          </w:p>
        </w:tc>
        <w:tc>
          <w:tcPr>
            <w:tcW w:w="4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0000"/>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 liabilities</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2,111</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2,263</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8" w:space="0" w:color="000000"/>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Equity and liabilities</w:t>
            </w:r>
          </w:p>
        </w:tc>
        <w:tc>
          <w:tcPr>
            <w:tcW w:w="1365" w:type="dxa"/>
            <w:tcBorders>
              <w:top w:val="single" w:sz="8" w:space="0" w:color="000000"/>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3543</w:t>
            </w:r>
          </w:p>
        </w:tc>
        <w:tc>
          <w:tcPr>
            <w:tcW w:w="136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3,649</w:t>
            </w:r>
          </w:p>
        </w:tc>
        <w:tc>
          <w:tcPr>
            <w:tcW w:w="450" w:type="dxa"/>
            <w:tcBorders>
              <w:top w:val="single" w:sz="8" w:space="0" w:color="0F172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bl>
    <w:p w:rsidR="00AA558F" w:rsidRPr="00EA39E6" w:rsidP="00DC022F" w14:paraId="65820C3C" w14:textId="22B5F1A8">
      <w:pPr>
        <w:pStyle w:val="Bodytext2"/>
        <w:spacing w:before="0"/>
        <w:rPr>
          <w:rFonts w:asciiTheme="minorHAnsi" w:hAnsiTheme="minorHAnsi" w:cstheme="minorHAnsi"/>
          <w:sz w:val="2"/>
          <w:szCs w:val="2"/>
        </w:rPr>
      </w:pPr>
      <w:r w:rsidRPr="00DC022F">
        <w:rPr>
          <w:sz w:val="2"/>
          <w:szCs w:val="2"/>
        </w:rPr>
        <w:br w:type="column"/>
      </w:r>
    </w:p>
    <w:p w:rsidR="005C05CC" w:rsidP="005C05CC" w14:paraId="05D46E3F" w14:textId="77777777">
      <w:pPr>
        <w:pStyle w:val="Heading10"/>
      </w:pPr>
      <w:bookmarkStart w:id="1510" w:name="RG_MARKER_7358"/>
      <w:r>
        <w:t>PARENT COMPANY CASH FLOW STATEMENT</w:t>
      </w:r>
      <w:bookmarkEnd w:id="1510"/>
    </w:p>
    <w:tbl>
      <w:tblPr>
        <w:tblStyle w:val="TableNormal"/>
        <w:tblCaption w:val="parent_CF"/>
        <w:tblDescription w:val="Parent company cash flow statement (FAS)"/>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flow from operating activities:</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Result before appropriations and taxes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194</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Adjustments for:</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Depreciation and amortisation</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Gains and losses on sale of intangible and tangible assets</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Financial income and expenses</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-226</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flow before changes in working capital</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-29</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Changes in working capital:</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Assets, non-interest-bearing, increase (-) / decrease (+)</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Liabilities, non-interest-bearing, increase (+) / decrease (-)</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1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Cash flow from operating activities before financial items and taxes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-44</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and other financial expenses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-21</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Dividends received from operating activities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211</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and other financial income from operating activities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36</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Income taxes paid</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221</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Cash flow from operating activities</w:t>
            </w:r>
          </w:p>
        </w:tc>
        <w:tc>
          <w:tcPr>
            <w:tcW w:w="1590" w:type="dxa"/>
            <w:tcBorders>
              <w:top w:val="single" w:sz="8" w:space="0" w:color="0F172B"/>
              <w:left w:val="nil"/>
              <w:bottom w:val="single" w:sz="8"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177</w:t>
            </w:r>
          </w:p>
        </w:tc>
        <w:tc>
          <w:tcPr>
            <w:tcW w:w="159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590" w:type="dxa"/>
            <w:tcBorders>
              <w:top w:val="single" w:sz="8" w:space="0" w:color="000000"/>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Cash flow from investing activities:</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Investments in tangible and intangible assets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Proceeds from sale of tangible and intangible assets</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Cash flow from investing activities</w:t>
            </w:r>
          </w:p>
        </w:tc>
        <w:tc>
          <w:tcPr>
            <w:tcW w:w="1590" w:type="dxa"/>
            <w:tcBorders>
              <w:top w:val="single" w:sz="8" w:space="0" w:color="0F172B"/>
              <w:left w:val="nil"/>
              <w:bottom w:val="single" w:sz="8"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59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590" w:type="dxa"/>
            <w:tcBorders>
              <w:top w:val="single" w:sz="8" w:space="0" w:color="000000"/>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Cash flow after investing activities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176</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Cash flow from financing activities:</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Loans receivables, increase (-) / decrease (+)</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97</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Current loans, increase (+) / decrease (-)</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175</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Proceeds from non-current borrowing</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Repayments and other changes of non-current loans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-326</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Purchase of own shares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Group contributions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Dividends paid</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-118</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Cash flow from financing activities</w:t>
            </w:r>
          </w:p>
        </w:tc>
        <w:tc>
          <w:tcPr>
            <w:tcW w:w="1590" w:type="dxa"/>
            <w:tcBorders>
              <w:top w:val="single" w:sz="8" w:space="0" w:color="0F172B"/>
              <w:left w:val="nil"/>
              <w:bottom w:val="single" w:sz="8"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-189</w:t>
            </w:r>
          </w:p>
        </w:tc>
        <w:tc>
          <w:tcPr>
            <w:tcW w:w="159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329</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590" w:type="dxa"/>
            <w:tcBorders>
              <w:top w:val="single" w:sz="8" w:space="0" w:color="000000"/>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8" w:space="0" w:color="000000"/>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185" w:type="dxa"/>
            <w:tcBorders>
              <w:top w:val="single" w:sz="8" w:space="0" w:color="0F172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Change in cash and bank balances, increase (+) / decrease (-)</w:t>
            </w:r>
          </w:p>
        </w:tc>
        <w:tc>
          <w:tcPr>
            <w:tcW w:w="1590" w:type="dxa"/>
            <w:tcBorders>
              <w:top w:val="single" w:sz="8" w:space="0" w:color="0F172B"/>
              <w:left w:val="nil"/>
              <w:bottom w:val="single" w:sz="8"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159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590" w:type="dxa"/>
            <w:tcBorders>
              <w:top w:val="single" w:sz="8" w:space="0" w:color="000000"/>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and bank at beginning of period</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699</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and bank at end of period</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685</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699</w:t>
            </w:r>
          </w:p>
        </w:tc>
      </w:tr>
    </w:tbl>
    <w:p w:rsidR="005C05CC" w:rsidRPr="00B56701" w:rsidP="00B56701" w14:paraId="41961F4F" w14:textId="0E3C36B8">
      <w:pPr>
        <w:pStyle w:val="Bodytext2"/>
        <w:spacing w:before="0"/>
        <w:rPr>
          <w:sz w:val="2"/>
          <w:szCs w:val="2"/>
        </w:rPr>
      </w:pPr>
      <w:r w:rsidRPr="00B56701">
        <w:br w:type="column"/>
      </w:r>
    </w:p>
    <w:p w:rsidR="005C05CC" w:rsidRPr="005C05CC" w:rsidP="00BA38AE" w14:paraId="1FA179C0" w14:textId="77777777">
      <w:pPr>
        <w:pStyle w:val="Bodytext2"/>
        <w:rPr>
          <w:sz w:val="2"/>
          <w:szCs w:val="2"/>
        </w:rPr>
      </w:pPr>
      <w:r>
        <w:t xml:space="preserve"> </w:t>
      </w:r>
    </w:p>
    <w:p w:rsidR="00AA093D" w:rsidRPr="00AA093D" w:rsidP="00AA093D" w14:paraId="3857AE8F" w14:textId="77777777">
      <w:pPr>
        <w:pStyle w:val="Heading10"/>
      </w:pPr>
      <w:bookmarkStart w:id="1511" w:name="RG_MARKER_7359"/>
      <w:r w:rsidRPr="00AA093D">
        <w:t>ACCOUNTING PRINCIPLES FOR THE PARENT COMPANY</w:t>
      </w:r>
      <w:bookmarkEnd w:id="1511"/>
    </w:p>
    <w:p w:rsidR="00AA093D" w:rsidP="00AA093D" w14:paraId="16D0728D" w14:textId="318D9594">
      <w:pPr>
        <w:pStyle w:val="Bodytext2"/>
      </w:pPr>
      <w:r w:rsidRPr="00AA093D">
        <w:t>The financial statements of the parent company, Wärtsilä Corporation, have been prepared in accordance with the provisions of the Finnish Accounting Standards (FAS).</w:t>
      </w:r>
    </w:p>
    <w:p w:rsidR="00AA093D" w:rsidRPr="00AA093D" w:rsidP="00AA093D" w14:paraId="1FB01A4C" w14:textId="77777777">
      <w:pPr>
        <w:pStyle w:val="Bodytext2"/>
      </w:pPr>
    </w:p>
    <w:p w:rsidR="00AA093D" w:rsidP="00AA093D" w14:paraId="55C75374" w14:textId="41ED8CAF">
      <w:pPr>
        <w:pStyle w:val="Bodytext2"/>
      </w:pPr>
      <w:r w:rsidRPr="00AA093D">
        <w:t xml:space="preserve">The preparation of the financial statements requires management, in compliance with the regulations in force and good accounting practice, to make estimates and assumptions that affect the measurement and timing of the reported information. Actual results </w:t>
      </w:r>
      <w:r w:rsidRPr="00AA093D">
        <w:t>may differ from these estimates.</w:t>
      </w:r>
    </w:p>
    <w:p w:rsidR="00AA093D" w:rsidRPr="00AA093D" w:rsidP="00AA093D" w14:paraId="513ADC75" w14:textId="77777777">
      <w:pPr>
        <w:pStyle w:val="Bodytext2"/>
      </w:pPr>
    </w:p>
    <w:p w:rsidR="00AA093D" w:rsidRPr="00AA093D" w:rsidP="00AA093D" w14:paraId="5AD966E0" w14:textId="77777777">
      <w:pPr>
        <w:pStyle w:val="Heading12"/>
      </w:pPr>
      <w:r w:rsidRPr="00AA093D">
        <w:t>Transactions denominated in foreign currencies and derivatives</w:t>
      </w:r>
    </w:p>
    <w:p w:rsidR="00AA093D" w:rsidP="00AA093D" w14:paraId="614C8221" w14:textId="6FB952CE">
      <w:pPr>
        <w:pStyle w:val="Bodytext2"/>
      </w:pPr>
      <w:r w:rsidRPr="00AA093D">
        <w:t>Business transactions in foreign currencies are recorded at the rates of exchange prevailing on the transaction date. Receivables and payables on the balance s</w:t>
      </w:r>
      <w:r w:rsidRPr="00AA093D">
        <w:t>heet date are valued at the exchange rates prevailing on that date. Exchange gains and losses related to business operations are treated as adjustments to other operating income and operating expenses. Exchange gains and losses related to financing operati</w:t>
      </w:r>
      <w:r w:rsidRPr="00AA093D">
        <w:t>ons are entered under financial income and expenses.</w:t>
      </w:r>
    </w:p>
    <w:p w:rsidR="00AA093D" w:rsidRPr="00AA093D" w:rsidP="00AA093D" w14:paraId="33AAAE06" w14:textId="77777777">
      <w:pPr>
        <w:pStyle w:val="Bodytext2"/>
      </w:pPr>
    </w:p>
    <w:p w:rsidR="00AA093D" w:rsidP="00AA093D" w14:paraId="4F291543" w14:textId="35E2DDBE">
      <w:pPr>
        <w:pStyle w:val="Bodytext2"/>
      </w:pPr>
      <w:r w:rsidRPr="00AA093D">
        <w:t>Derivatives are measured at fair value. Open currency derivatives, including interest components, are valued at the balance sheet date. The fair value of interest rate swaps is calculated by discounting</w:t>
      </w:r>
      <w:r w:rsidRPr="00AA093D">
        <w:t xml:space="preserve"> the future cash flows. Derivative changes in fair value are immediately recognised in financial income or expenses in the statement of income.</w:t>
      </w:r>
    </w:p>
    <w:p w:rsidR="00AA093D" w:rsidRPr="00AA093D" w:rsidP="00AA093D" w14:paraId="5B619963" w14:textId="77777777">
      <w:pPr>
        <w:pStyle w:val="Bodytext2"/>
      </w:pPr>
    </w:p>
    <w:p w:rsidR="00AA093D" w:rsidRPr="00AA093D" w:rsidP="00AA093D" w14:paraId="76218D0B" w14:textId="77777777">
      <w:pPr>
        <w:pStyle w:val="Heading12"/>
      </w:pPr>
      <w:r w:rsidRPr="00AA093D">
        <w:t>Research and development costs</w:t>
      </w:r>
    </w:p>
    <w:p w:rsidR="00AA093D" w:rsidRPr="00AA093D" w:rsidP="00AA093D" w14:paraId="002CD9CF" w14:textId="77777777">
      <w:pPr>
        <w:pStyle w:val="Bodytext2"/>
      </w:pPr>
      <w:r w:rsidRPr="00AA093D">
        <w:t>Research and development costs are expensed in the financial period in which the</w:t>
      </w:r>
      <w:r w:rsidRPr="00AA093D">
        <w:t>y occur.</w:t>
      </w:r>
    </w:p>
    <w:p w:rsidR="00AA093D" w:rsidP="00AA093D" w14:paraId="09597001" w14:textId="77777777">
      <w:pPr>
        <w:pStyle w:val="Bodytext2"/>
      </w:pPr>
    </w:p>
    <w:p w:rsidR="00AA093D" w:rsidRPr="00AA093D" w:rsidP="00AA093D" w14:paraId="53AC8296" w14:textId="4A466339">
      <w:pPr>
        <w:pStyle w:val="Heading12"/>
      </w:pPr>
      <w:r w:rsidRPr="00AA093D">
        <w:t>Receivables</w:t>
      </w:r>
    </w:p>
    <w:p w:rsidR="00AA093D" w:rsidP="00AA093D" w14:paraId="1C1A8AAA" w14:textId="472A983A">
      <w:pPr>
        <w:pStyle w:val="Bodytext2"/>
      </w:pPr>
      <w:r w:rsidRPr="00AA093D">
        <w:t>Receivables are valued to acquisition cost or to a lower probable value.</w:t>
      </w:r>
    </w:p>
    <w:p w:rsidR="00AA093D" w:rsidRPr="00AA093D" w:rsidP="00AA093D" w14:paraId="481EB5F2" w14:textId="77777777">
      <w:pPr>
        <w:pStyle w:val="Bodytext2"/>
      </w:pPr>
    </w:p>
    <w:p w:rsidR="00AA093D" w:rsidRPr="00AA093D" w:rsidP="00AA093D" w14:paraId="41465946" w14:textId="77777777">
      <w:pPr>
        <w:pStyle w:val="Heading12"/>
      </w:pPr>
      <w:r w:rsidRPr="00AA093D">
        <w:t>Fixed assets and depreciation and amortisation</w:t>
      </w:r>
    </w:p>
    <w:p w:rsidR="00AA093D" w:rsidP="00AA093D" w14:paraId="42DBB124" w14:textId="5D36ECB0">
      <w:pPr>
        <w:pStyle w:val="Bodytext2"/>
      </w:pPr>
      <w:r w:rsidRPr="00AA093D">
        <w:t>Fixed assets are valued in the balance sheet at their direct acquisition cost less accumulated depreciation and a</w:t>
      </w:r>
      <w:r w:rsidRPr="00AA093D">
        <w:t>mortisastion. Certain land areas also include revaluations.</w:t>
      </w:r>
    </w:p>
    <w:p w:rsidR="00AA093D" w:rsidRPr="00AA093D" w:rsidP="00AA093D" w14:paraId="1F230BBC" w14:textId="77777777">
      <w:pPr>
        <w:pStyle w:val="Bodytext2"/>
      </w:pPr>
    </w:p>
    <w:p w:rsidR="00AA093D" w:rsidRPr="00AA093D" w:rsidP="00AA093D" w14:paraId="01277C56" w14:textId="77777777">
      <w:pPr>
        <w:pStyle w:val="Bodytext2"/>
      </w:pPr>
      <w:r w:rsidRPr="00AA093D">
        <w:t>Depreciation and amortisation is based on the following useful lives:</w:t>
      </w:r>
    </w:p>
    <w:p w:rsidR="00AA093D" w:rsidRPr="00AA093D" w:rsidP="00AA093D" w14:paraId="62D9A2F1" w14:textId="4FD745B8">
      <w:pPr>
        <w:pStyle w:val="Bodytext2"/>
      </w:pPr>
      <w:r w:rsidRPr="00AA093D">
        <w:t>Other long-term expenditure</w:t>
      </w:r>
      <w:r>
        <w:tab/>
      </w:r>
      <w:r w:rsidRPr="00AA093D">
        <w:t>3-10 years</w:t>
      </w:r>
    </w:p>
    <w:p w:rsidR="00AA093D" w:rsidRPr="00AA093D" w:rsidP="00AA093D" w14:paraId="524CDE21" w14:textId="6B921DDE">
      <w:pPr>
        <w:pStyle w:val="Bodytext2"/>
      </w:pPr>
      <w:r w:rsidRPr="00AA093D">
        <w:t>Buildings</w:t>
      </w:r>
      <w:r>
        <w:tab/>
      </w:r>
      <w:r>
        <w:tab/>
      </w:r>
      <w:r>
        <w:tab/>
      </w:r>
      <w:r w:rsidRPr="00AA093D">
        <w:t>20-40 years</w:t>
      </w:r>
    </w:p>
    <w:p w:rsidR="00AA093D" w:rsidRPr="00AA093D" w:rsidP="00AA093D" w14:paraId="69F2707A" w14:textId="4E8435D2">
      <w:pPr>
        <w:pStyle w:val="Bodytext2"/>
      </w:pPr>
      <w:r w:rsidRPr="00AA093D">
        <w:t>Machinery and equipment</w:t>
      </w:r>
      <w:r>
        <w:tab/>
      </w:r>
      <w:r w:rsidRPr="00AA093D">
        <w:t>5-20 years</w:t>
      </w:r>
    </w:p>
    <w:p w:rsidR="00AA093D" w:rsidP="00AA093D" w14:paraId="1369C204" w14:textId="77777777">
      <w:pPr>
        <w:pStyle w:val="Bodytext2"/>
      </w:pPr>
    </w:p>
    <w:p w:rsidR="00AA093D" w:rsidRPr="00AA093D" w:rsidP="00AA093D" w14:paraId="14D1E605" w14:textId="109A8840">
      <w:pPr>
        <w:pStyle w:val="Heading12"/>
      </w:pPr>
      <w:r w:rsidRPr="00AA093D">
        <w:t>Leasing</w:t>
      </w:r>
    </w:p>
    <w:p w:rsidR="00AA093D" w:rsidRPr="00AA093D" w:rsidP="00AA093D" w14:paraId="5371FE4B" w14:textId="77777777">
      <w:pPr>
        <w:pStyle w:val="Bodytext2"/>
      </w:pPr>
      <w:r w:rsidRPr="00AA093D">
        <w:t>Lease payments are</w:t>
      </w:r>
      <w:r w:rsidRPr="00AA093D">
        <w:t xml:space="preserve"> treated as rentals.</w:t>
      </w:r>
    </w:p>
    <w:p w:rsidR="00AA093D" w:rsidP="00AA093D" w14:paraId="77A7949B" w14:textId="77777777">
      <w:pPr>
        <w:pStyle w:val="Bodytext2"/>
      </w:pPr>
    </w:p>
    <w:p w:rsidR="00AA093D" w:rsidRPr="00AA093D" w:rsidP="00AA093D" w14:paraId="57357117" w14:textId="5B44C0DC">
      <w:pPr>
        <w:pStyle w:val="Heading12"/>
      </w:pPr>
      <w:r w:rsidRPr="00AA093D">
        <w:t>Provisions</w:t>
      </w:r>
    </w:p>
    <w:p w:rsidR="00AA093D" w:rsidRPr="00AA093D" w:rsidP="00AA093D" w14:paraId="38406423" w14:textId="77777777">
      <w:pPr>
        <w:pStyle w:val="Bodytext2"/>
      </w:pPr>
      <w:r w:rsidRPr="00AA093D">
        <w:t xml:space="preserve">Provisions in the balance sheet comprise those items which the company is committed to covering either through agreements or otherwise, but which are not yet realised. Changes to provisions are included in the income </w:t>
      </w:r>
      <w:r w:rsidRPr="00AA093D">
        <w:t>statement.</w:t>
      </w:r>
    </w:p>
    <w:p w:rsidR="00AA093D" w:rsidP="00AA093D" w14:paraId="6CF3ADD2" w14:textId="77777777">
      <w:pPr>
        <w:pStyle w:val="Bodytext2"/>
      </w:pPr>
    </w:p>
    <w:p w:rsidR="00AA093D" w:rsidRPr="00AA093D" w:rsidP="00AA093D" w14:paraId="194E51F5" w14:textId="72FCF298">
      <w:pPr>
        <w:pStyle w:val="Heading12"/>
      </w:pPr>
      <w:r w:rsidRPr="00AA093D">
        <w:t>Income taxes</w:t>
      </w:r>
    </w:p>
    <w:p w:rsidR="00AA093D" w:rsidRPr="00AA093D" w:rsidP="00AA093D" w14:paraId="6CAAE32B" w14:textId="6F3C881A">
      <w:pPr>
        <w:pStyle w:val="Bodytext2"/>
      </w:pPr>
      <w:r w:rsidRPr="00AA093D">
        <w:t xml:space="preserve">Income taxes in the income statement include taxes calculated for the financial year based on Finnish tax provisions, as well as adjustments to taxes in prior years. </w:t>
      </w:r>
    </w:p>
    <w:p w:rsidR="00AA093D" w:rsidP="00AA093D" w14:paraId="198A9BDE" w14:textId="77777777">
      <w:pPr>
        <w:pStyle w:val="Bodytext2"/>
      </w:pPr>
    </w:p>
    <w:p w:rsidR="00AA093D" w:rsidRPr="00AA093D" w:rsidP="00AA093D" w14:paraId="72D9C72E" w14:textId="5B605430">
      <w:pPr>
        <w:pStyle w:val="Heading12"/>
      </w:pPr>
      <w:r w:rsidRPr="00AA093D">
        <w:t>Dividends</w:t>
      </w:r>
    </w:p>
    <w:p w:rsidR="00AA093D" w:rsidRPr="004128E5" w:rsidP="004128E5" w14:paraId="27BB128B" w14:textId="77777777">
      <w:pPr>
        <w:pStyle w:val="Bodytext2"/>
        <w:spacing w:before="0"/>
        <w:rPr>
          <w:sz w:val="2"/>
          <w:szCs w:val="2"/>
        </w:rPr>
      </w:pPr>
      <w:r w:rsidRPr="004128E5">
        <w:t>Dividends proposed by the Board of Directors are not recorded in the financial statements until they have been approved by the Annual General Meeting.</w:t>
      </w:r>
      <w:r w:rsidRPr="004128E5">
        <w:br w:type="column"/>
      </w:r>
    </w:p>
    <w:p w:rsidR="000C6832" w:rsidP="00B30C58" w14:paraId="5BEC1E36" w14:textId="0C4FE360">
      <w:pPr>
        <w:pStyle w:val="Heading11"/>
      </w:pPr>
      <w:bookmarkStart w:id="1512" w:name="RG_MARKER_7378"/>
      <w:bookmarkStart w:id="1513" w:name="RG_MARKER_7299"/>
      <w:r>
        <w:t>NOTES TO THE PARENT COMPANY FINANCIAL STATEMENTS</w:t>
      </w:r>
      <w:bookmarkEnd w:id="1513"/>
      <w:bookmarkEnd w:id="1512"/>
    </w:p>
    <w:p w:rsidR="00B30C58" w:rsidRPr="00B30C58" w:rsidP="00B30C58" w14:paraId="52A4438B" w14:textId="0819AC1A">
      <w:pPr>
        <w:pStyle w:val="Heading11"/>
      </w:pPr>
      <w:r w:rsidRPr="00B30C58">
        <w:t>1. OTHER OPERATING INCOME</w:t>
      </w:r>
    </w:p>
    <w:tbl>
      <w:tblPr>
        <w:tblStyle w:val="TableNormal"/>
        <w:tblCaption w:val="parent_1"/>
        <w:tblDescription w:val="1. Other operating income"/>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Rental income</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Services to Group companies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105</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88</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00000"/>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Profit on sales of fixed assets</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590" w:type="dxa"/>
            <w:tcBorders>
              <w:top w:val="single" w:sz="4" w:space="0" w:color="004A6B"/>
              <w:left w:val="nil"/>
              <w:bottom w:val="single" w:sz="8" w:space="0" w:color="000000"/>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109</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93</w:t>
            </w:r>
          </w:p>
        </w:tc>
      </w:tr>
    </w:tbl>
    <w:p/>
    <w:p w:rsidR="00040C14" w:rsidRPr="00040C14" w:rsidP="00040C14" w14:paraId="42BE2BEC" w14:textId="77777777">
      <w:pPr>
        <w:pStyle w:val="Heading11"/>
      </w:pPr>
      <w:bookmarkStart w:id="1514" w:name="RG_MARKER_7377"/>
      <w:r w:rsidRPr="00040C14">
        <w:t>2. PERSONNEL EXPENSES</w:t>
      </w:r>
      <w:bookmarkEnd w:id="1514"/>
    </w:p>
    <w:tbl>
      <w:tblPr>
        <w:tblStyle w:val="TableNormal"/>
        <w:tblCaption w:val="parent_2"/>
        <w:tblDescription w:val="2. Personnel expenses"/>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Wages and salaries</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Pension costs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compulsory personnel costs</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-45</w:t>
            </w:r>
          </w:p>
        </w:tc>
        <w:tc>
          <w:tcPr>
            <w:tcW w:w="159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w:t>
            </w:r>
          </w:p>
        </w:tc>
      </w:tr>
    </w:tbl>
    <w:p w:rsidR="00040C14" w:rsidRPr="00040C14" w:rsidP="00040C14" w14:paraId="0478473E" w14:textId="77777777">
      <w:pPr>
        <w:pStyle w:val="Bodytext2"/>
      </w:pPr>
    </w:p>
    <w:p w:rsidR="00040C14" w:rsidRPr="00040C14" w:rsidP="00040C14" w14:paraId="1551D8F6" w14:textId="77777777">
      <w:pPr>
        <w:pStyle w:val="Heading12"/>
      </w:pPr>
      <w:r w:rsidRPr="00040C14">
        <w:t>Salaries and remunerations paid to senior management</w:t>
      </w:r>
    </w:p>
    <w:p w:rsidR="009E1B7F" w:rsidP="00040C14" w14:paraId="5944E69A" w14:textId="77777777">
      <w:pPr>
        <w:pStyle w:val="Bodytext2"/>
      </w:pPr>
      <w:r w:rsidRPr="00040C14">
        <w:t xml:space="preserve">Salaries and remunerations paid to the President and CEO and members of the Board of Directors was </w:t>
      </w:r>
    </w:p>
    <w:p w:rsidR="00040C14" w:rsidP="00040C14" w14:paraId="7FFD1B1F" w14:textId="4A770523">
      <w:pPr>
        <w:pStyle w:val="Bodytext2"/>
      </w:pPr>
      <w:r w:rsidRPr="00040C14">
        <w:t xml:space="preserve">EUR </w:t>
      </w:r>
      <w:r>
        <w:t>2</w:t>
      </w:r>
      <w:r w:rsidRPr="00040C14">
        <w:t xml:space="preserve"> million (2). </w:t>
      </w:r>
    </w:p>
    <w:p w:rsidR="00040C14" w:rsidRPr="00040C14" w:rsidP="00040C14" w14:paraId="4580049C" w14:textId="77777777">
      <w:pPr>
        <w:pStyle w:val="Bodytext2"/>
      </w:pPr>
    </w:p>
    <w:p w:rsidR="00040C14" w:rsidP="00040C14" w14:paraId="2C067896" w14:textId="773DBCEE">
      <w:pPr>
        <w:pStyle w:val="Bodytext2"/>
      </w:pPr>
      <w:r w:rsidRPr="00040C14">
        <w:t xml:space="preserve">The President and CEO has the right to retire at the age of 63 years. The members of the Board of Management are entitled to retire on </w:t>
      </w:r>
      <w:r w:rsidRPr="00040C14">
        <w:t>reaching the statutory retirement age. One member of the Board of Management is entitled to retire earlier, on reaching 60 years of age.</w:t>
      </w:r>
    </w:p>
    <w:p w:rsidR="00040C14" w:rsidRPr="00040C14" w:rsidP="00040C14" w14:paraId="1685F804" w14:textId="77777777">
      <w:pPr>
        <w:pStyle w:val="Bodytext2"/>
      </w:pPr>
    </w:p>
    <w:p w:rsidR="00040C14" w:rsidP="00040C14" w14:paraId="0F4CE3F1" w14:textId="2C88672E">
      <w:pPr>
        <w:pStyle w:val="Bodytext2"/>
      </w:pPr>
      <w:r w:rsidRPr="00040C14">
        <w:t>The company's Board of Directors decides the remunerations of the President and CEO and his immediate subordinates.</w:t>
      </w:r>
    </w:p>
    <w:p w:rsidR="00040C14" w:rsidRPr="00040C14" w:rsidP="00040C14" w14:paraId="07EB0C42" w14:textId="77777777">
      <w:pPr>
        <w:pStyle w:val="Bodytext2"/>
      </w:pPr>
    </w:p>
    <w:p w:rsidR="00040C14" w:rsidP="00040C14" w14:paraId="13D1590A" w14:textId="5F41EA76">
      <w:pPr>
        <w:pStyle w:val="Bodytext2"/>
      </w:pPr>
      <w:r w:rsidRPr="00040C14">
        <w:t>A</w:t>
      </w:r>
      <w:r w:rsidRPr="00040C14">
        <w:t>dditional information about Management remuneration can be found in Consolidated Financial Statements Note 7.2. Related party disclosures.</w:t>
      </w:r>
    </w:p>
    <w:p w:rsidR="00040C14" w:rsidRPr="00040C14" w:rsidP="00040C14" w14:paraId="7ECC8A54" w14:textId="77777777">
      <w:pPr>
        <w:pStyle w:val="Bodytext2"/>
      </w:pPr>
    </w:p>
    <w:p w:rsidR="00040C14" w:rsidRPr="00040C14" w:rsidP="00040C14" w14:paraId="615188DB" w14:textId="4A5C4BBD">
      <w:pPr>
        <w:pStyle w:val="Bodytext2"/>
        <w:rPr>
          <w:sz w:val="2"/>
          <w:szCs w:val="2"/>
        </w:rPr>
      </w:pPr>
      <w:r w:rsidRPr="00040C14">
        <w:t xml:space="preserve">Personnel on average during the year was </w:t>
      </w:r>
      <w:r>
        <w:t>382</w:t>
      </w:r>
      <w:r w:rsidRPr="00040C14">
        <w:t xml:space="preserve"> (</w:t>
      </w:r>
      <w:r>
        <w:t>373</w:t>
      </w:r>
      <w:r w:rsidRPr="00040C14">
        <w:t>).</w:t>
      </w:r>
      <w:r w:rsidRPr="00040C14">
        <w:br w:type="column"/>
      </w:r>
    </w:p>
    <w:p w:rsidR="004D22E9" w:rsidRPr="004D22E9" w:rsidP="004D22E9" w14:paraId="708F3547" w14:textId="77777777">
      <w:pPr>
        <w:pStyle w:val="Heading11"/>
      </w:pPr>
      <w:bookmarkStart w:id="1515" w:name="RG_MARKER_7376"/>
      <w:r w:rsidRPr="004D22E9">
        <w:t>3. DEPRECIATION AND AMORTISATION</w:t>
      </w:r>
      <w:bookmarkEnd w:id="1515"/>
    </w:p>
    <w:tbl>
      <w:tblPr>
        <w:tblStyle w:val="TableNormal"/>
        <w:tblCaption w:val="parent_3"/>
        <w:tblDescription w:val="3. Depreciation and amortisation"/>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Depreciation and amortisation according to plan</w:t>
            </w:r>
          </w:p>
        </w:tc>
        <w:tc>
          <w:tcPr>
            <w:tcW w:w="159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long-term expenditure</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Machinery and equipment</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Total depreciation according to plan</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Tax depreciations</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Depreciation difference</w:t>
            </w:r>
          </w:p>
        </w:tc>
        <w:tc>
          <w:tcPr>
            <w:tcW w:w="159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Depreciation difference on 1 January</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Depreciation difference on 31 December </w:t>
            </w:r>
          </w:p>
        </w:tc>
        <w:tc>
          <w:tcPr>
            <w:tcW w:w="1590" w:type="dxa"/>
            <w:tcBorders>
              <w:top w:val="single" w:sz="8" w:space="0" w:color="0F172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bl>
    <w:p/>
    <w:p w:rsidR="00532E39" w:rsidP="00532E39" w14:paraId="58DA64D1" w14:textId="77777777">
      <w:pPr>
        <w:pStyle w:val="Heading11"/>
      </w:pPr>
      <w:bookmarkStart w:id="1516" w:name="RG_MARKER_7375"/>
      <w:r>
        <w:t>4. FINANCIAL INCOME AND EXPENSES</w:t>
      </w:r>
      <w:bookmarkEnd w:id="1516"/>
    </w:p>
    <w:tbl>
      <w:tblPr>
        <w:tblStyle w:val="TableNormal"/>
        <w:tblCaption w:val="parent_4"/>
        <w:tblDescription w:val="4. Financial income and expenses"/>
        <w:tblW w:w="7365" w:type="dxa"/>
        <w:tblLayout w:type="fixed"/>
        <w:tblLook w:val="0600"/>
      </w:tblPr>
      <w:tblGrid>
        <w:gridCol w:w="300"/>
        <w:gridCol w:w="3885"/>
        <w:gridCol w:w="1590"/>
        <w:gridCol w:w="1590"/>
      </w:tblGrid>
      <w:tr>
        <w:tblPrEx>
          <w:tblW w:w="7365" w:type="dxa"/>
          <w:tblLayout w:type="fixed"/>
          <w:tblLook w:val="0600"/>
        </w:tblPrEx>
        <w:trPr>
          <w:trHeight w:hRule="exact" w:val="240"/>
        </w:trPr>
        <w:tc>
          <w:tcPr>
            <w:tcW w:w="4185" w:type="dxa"/>
            <w:gridSpan w:val="2"/>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Dividend income</w:t>
            </w:r>
          </w:p>
        </w:tc>
        <w:tc>
          <w:tcPr>
            <w:tcW w:w="159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8" w:space="0" w:color="0F172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From Group companies</w:t>
            </w:r>
          </w:p>
        </w:tc>
        <w:tc>
          <w:tcPr>
            <w:tcW w:w="1590" w:type="dxa"/>
            <w:tcBorders>
              <w:top w:val="single" w:sz="4" w:space="0" w:color="004A6B"/>
              <w:left w:val="nil"/>
              <w:bottom w:val="single" w:sz="8"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211</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590" w:type="dxa"/>
            <w:tcBorders>
              <w:top w:val="single" w:sz="8" w:space="0" w:color="000000"/>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211</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Other interest income </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From Group companies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8" w:space="0" w:color="0F172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From other companies</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financial income</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From Group companies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8" w:space="0" w:color="0F172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From other companies</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Exchange gains and losses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expenses</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To Group companies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8" w:space="0" w:color="0F172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To other companies</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financial expenses</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To Group companies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8" w:space="0" w:color="0F172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To other companies</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388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Financial income and expenses, total</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226</w:t>
            </w:r>
          </w:p>
        </w:tc>
        <w:tc>
          <w:tcPr>
            <w:tcW w:w="159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305</w:t>
            </w:r>
          </w:p>
        </w:tc>
      </w:tr>
    </w:tbl>
    <w:p/>
    <w:p w:rsidR="00EF08D8" w:rsidRPr="00EF08D8" w:rsidP="00EF08D8" w14:paraId="26A82612" w14:textId="77777777">
      <w:pPr>
        <w:pStyle w:val="Heading11"/>
      </w:pPr>
      <w:bookmarkStart w:id="1517" w:name="RG_MARKER_7374"/>
      <w:r w:rsidRPr="00EF08D8">
        <w:t>5. INCOME TAXES</w:t>
      </w:r>
      <w:bookmarkEnd w:id="1517"/>
    </w:p>
    <w:tbl>
      <w:tblPr>
        <w:tblStyle w:val="TableNormal"/>
        <w:tblCaption w:val="parent_5"/>
        <w:tblDescription w:val="5. Income taxes"/>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1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Income taxes</w:t>
            </w:r>
          </w:p>
        </w:tc>
        <w:tc>
          <w:tcPr>
            <w:tcW w:w="1590" w:type="dxa"/>
            <w:tcBorders>
              <w:top w:val="single" w:sz="8" w:space="0" w:color="0F172B"/>
              <w:left w:val="nil"/>
              <w:bottom w:val="single" w:sz="4" w:space="0" w:color="004A6B"/>
              <w:right w:val="nil"/>
              <w:tl2br w:val="nil"/>
              <w:tr2bl w:val="nil"/>
            </w:tcBorders>
            <w:shd w:val="clear" w:color="FFFFFF" w:fill="EBEBEB"/>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For the financial period</w:t>
            </w:r>
          </w:p>
        </w:tc>
        <w:tc>
          <w:tcPr>
            <w:tcW w:w="1590" w:type="dxa"/>
            <w:tcBorders>
              <w:top w:val="single" w:sz="4" w:space="0" w:color="004A6B"/>
              <w:left w:val="nil"/>
              <w:bottom w:val="single" w:sz="8"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590" w:type="dxa"/>
            <w:tcBorders>
              <w:top w:val="single" w:sz="8" w:space="0" w:color="000000"/>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59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bl>
    <w:p w:rsidR="00EF08D8" w:rsidRPr="00EF08D8" w:rsidP="00EF08D8" w14:paraId="1BC9512A" w14:textId="77777777">
      <w:pPr>
        <w:pStyle w:val="Bodytext2"/>
        <w:rPr>
          <w:sz w:val="2"/>
          <w:szCs w:val="2"/>
        </w:rPr>
      </w:pPr>
      <w:r w:rsidRPr="00EF08D8">
        <w:br w:type="column"/>
      </w:r>
    </w:p>
    <w:p w:rsidR="00845C61" w:rsidRPr="00845C61" w:rsidP="00845C61" w14:paraId="44C3FBDA" w14:textId="77777777">
      <w:pPr>
        <w:pStyle w:val="Heading11"/>
      </w:pPr>
      <w:bookmarkStart w:id="1518" w:name="RG_MARKER_7373"/>
      <w:r w:rsidRPr="00845C61">
        <w:t>6. FIXED ASSETS</w:t>
      </w:r>
      <w:bookmarkEnd w:id="1518"/>
    </w:p>
    <w:p w:rsidR="00845C61" w:rsidRPr="00845C61" w:rsidP="00845C61" w14:paraId="2DA1A606" w14:textId="77777777">
      <w:pPr>
        <w:pStyle w:val="Heading12"/>
      </w:pPr>
      <w:r w:rsidRPr="00845C61">
        <w:t>Intangible assets</w:t>
      </w:r>
    </w:p>
    <w:tbl>
      <w:tblPr>
        <w:tblStyle w:val="TableNormal"/>
        <w:tblCaption w:val="parent_6_1"/>
        <w:tblDescription w:val="6. Fixed assets "/>
        <w:tblW w:w="7365" w:type="dxa"/>
        <w:tblLayout w:type="fixed"/>
        <w:tblLook w:val="0600"/>
      </w:tblPr>
      <w:tblGrid>
        <w:gridCol w:w="2565"/>
        <w:gridCol w:w="795"/>
        <w:gridCol w:w="795"/>
        <w:gridCol w:w="810"/>
        <w:gridCol w:w="810"/>
        <w:gridCol w:w="795"/>
        <w:gridCol w:w="795"/>
      </w:tblGrid>
      <w:tr>
        <w:tblPrEx>
          <w:tblW w:w="7365" w:type="dxa"/>
          <w:tblLayout w:type="fixed"/>
          <w:tblLook w:val="0600"/>
        </w:tblPrEx>
        <w:trPr>
          <w:trHeight w:val="240"/>
        </w:trPr>
        <w:tc>
          <w:tcPr>
            <w:tcW w:w="256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795" w:type="dxa"/>
            <w:tcBorders>
              <w:top w:val="nil"/>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nil"/>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Other</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long-term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expenditures</w:t>
            </w:r>
          </w:p>
        </w:tc>
        <w:tc>
          <w:tcPr>
            <w:tcW w:w="810"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Intangible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assets and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construction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in progress</w:t>
            </w:r>
          </w:p>
        </w:tc>
        <w:tc>
          <w:tcPr>
            <w:tcW w:w="795"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795"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Acquisition cost at 1 January </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117</w:t>
            </w: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795" w:type="dxa"/>
            <w:tcBorders>
              <w:top w:val="single" w:sz="8" w:space="0" w:color="0F172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118</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Additions</w:t>
            </w: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795" w:type="dxa"/>
            <w:tcBorders>
              <w:top w:val="single" w:sz="4" w:space="0" w:color="004A6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79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Disposals</w:t>
            </w:r>
          </w:p>
        </w:tc>
        <w:tc>
          <w:tcPr>
            <w:tcW w:w="795"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810"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79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Acquisition cost at 31 December</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113</w:t>
            </w: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795" w:type="dxa"/>
            <w:tcBorders>
              <w:top w:val="single" w:sz="8" w:space="0" w:color="0F172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116</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118</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EBEBEB"/>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Accumulated amortisation at 1 January </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-109</w:t>
            </w:r>
          </w:p>
        </w:tc>
        <w:tc>
          <w:tcPr>
            <w:tcW w:w="810"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-109</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Accumulated amortisation on disposals and other changes</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810"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Amortisation during the financial period</w:t>
            </w:r>
          </w:p>
        </w:tc>
        <w:tc>
          <w:tcPr>
            <w:tcW w:w="795"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10"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79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Accumulated amortisation at 31 December</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-107</w:t>
            </w:r>
          </w:p>
        </w:tc>
        <w:tc>
          <w:tcPr>
            <w:tcW w:w="810"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8" w:space="0" w:color="0F172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-107</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-109</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EBEBEB"/>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Carrying amount at 31 December 2021</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795" w:type="dxa"/>
            <w:tcBorders>
              <w:top w:val="single" w:sz="4" w:space="0" w:color="004A6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Carrying amount at 31 December 2020</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795" w:type="dxa"/>
            <w:tcBorders>
              <w:top w:val="single" w:sz="4" w:space="0" w:color="004A6B"/>
              <w:left w:val="nil"/>
              <w:bottom w:val="single" w:sz="4" w:space="0" w:color="004A6B"/>
              <w:right w:val="nil"/>
              <w:tl2br w:val="nil"/>
              <w:tr2bl w:val="nil"/>
            </w:tcBorders>
            <w:shd w:val="clear" w:color="FFFFFF" w:fill="EBEBEB"/>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r>
    </w:tbl>
    <w:p w:rsidR="00845C61" w:rsidRPr="00845C61" w:rsidP="00845C61" w14:paraId="7DFD3362" w14:textId="77777777">
      <w:pPr>
        <w:pStyle w:val="Bodytext2"/>
      </w:pPr>
    </w:p>
    <w:p w:rsidR="00845C61" w:rsidRPr="00845C61" w:rsidP="00845C61" w14:paraId="75A931DB" w14:textId="77777777">
      <w:pPr>
        <w:pStyle w:val="Heading12"/>
      </w:pPr>
      <w:r w:rsidRPr="00845C61">
        <w:t>Tangible assets</w:t>
      </w:r>
    </w:p>
    <w:tbl>
      <w:tblPr>
        <w:tblStyle w:val="TableNormal"/>
        <w:tblCaption w:val="parent_6_2"/>
        <w:tblW w:w="7365" w:type="dxa"/>
        <w:tblLayout w:type="fixed"/>
        <w:tblLook w:val="0600"/>
      </w:tblPr>
      <w:tblGrid>
        <w:gridCol w:w="2565"/>
        <w:gridCol w:w="795"/>
        <w:gridCol w:w="795"/>
        <w:gridCol w:w="810"/>
        <w:gridCol w:w="810"/>
        <w:gridCol w:w="795"/>
        <w:gridCol w:w="795"/>
      </w:tblGrid>
      <w:tr>
        <w:tblPrEx>
          <w:tblW w:w="7365" w:type="dxa"/>
          <w:tblLayout w:type="fixed"/>
          <w:tblLook w:val="0600"/>
        </w:tblPrEx>
        <w:trPr>
          <w:trHeight w:val="240"/>
        </w:trPr>
        <w:tc>
          <w:tcPr>
            <w:tcW w:w="256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795" w:type="dxa"/>
            <w:tcBorders>
              <w:top w:val="nil"/>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Land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and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water</w:t>
            </w:r>
          </w:p>
        </w:tc>
        <w:tc>
          <w:tcPr>
            <w:tcW w:w="810"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Buildings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and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structures </w:t>
            </w:r>
          </w:p>
        </w:tc>
        <w:tc>
          <w:tcPr>
            <w:tcW w:w="810"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Machinery,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equipment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and other</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tangible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assets</w:t>
            </w:r>
          </w:p>
        </w:tc>
        <w:tc>
          <w:tcPr>
            <w:tcW w:w="795"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795"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Acquisition cost at 1 January</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795" w:type="dxa"/>
            <w:tcBorders>
              <w:top w:val="single" w:sz="8" w:space="0" w:color="0F172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Additions</w:t>
            </w: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EBEBEB"/>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Disposals</w:t>
            </w:r>
          </w:p>
        </w:tc>
        <w:tc>
          <w:tcPr>
            <w:tcW w:w="795"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10"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79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Acquisition cost at </w:t>
            </w:r>
          </w:p>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31 December </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795" w:type="dxa"/>
            <w:tcBorders>
              <w:top w:val="single" w:sz="8" w:space="0" w:color="0F172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EBEBEB"/>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Accumulated depreciation at </w:t>
            </w:r>
          </w:p>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1 January </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795" w:type="dxa"/>
            <w:tcBorders>
              <w:top w:val="single" w:sz="4" w:space="0" w:color="004A6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Amortisation during the financial period</w:t>
            </w:r>
          </w:p>
        </w:tc>
        <w:tc>
          <w:tcPr>
            <w:tcW w:w="795"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79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79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Accumulated depreciation at 31 December</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795" w:type="dxa"/>
            <w:tcBorders>
              <w:top w:val="single" w:sz="8" w:space="0" w:color="0F172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EBEBEB"/>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Carrying amount at 31 December 2021</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10"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795" w:type="dxa"/>
            <w:tcBorders>
              <w:top w:val="single" w:sz="4" w:space="0" w:color="004A6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Carrying amount at 31 December 2020</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10"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795" w:type="dxa"/>
            <w:tcBorders>
              <w:top w:val="single" w:sz="4" w:space="0" w:color="004A6B"/>
              <w:left w:val="nil"/>
              <w:bottom w:val="single" w:sz="4" w:space="0" w:color="004A6B"/>
              <w:right w:val="nil"/>
              <w:tl2br w:val="nil"/>
              <w:tr2bl w:val="nil"/>
            </w:tcBorders>
            <w:shd w:val="clear" w:color="FFFFFF" w:fill="EBEBEB"/>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r>
    </w:tbl>
    <w:p w:rsidR="00845C61" w:rsidRPr="00845C61" w:rsidP="00845C61" w14:paraId="20B43DC8" w14:textId="77777777">
      <w:pPr>
        <w:pStyle w:val="Bodytext2"/>
      </w:pPr>
    </w:p>
    <w:p w:rsidR="00845C61" w:rsidRPr="00845C61" w:rsidP="00845C61" w14:paraId="3DB2DA14" w14:textId="77777777">
      <w:pPr>
        <w:pStyle w:val="Heading12"/>
      </w:pPr>
      <w:r w:rsidRPr="00845C61">
        <w:t>Shares and securities</w:t>
      </w:r>
    </w:p>
    <w:tbl>
      <w:tblPr>
        <w:tblStyle w:val="TableNormal"/>
        <w:tblCaption w:val="parent_6_3"/>
        <w:tblW w:w="7365" w:type="dxa"/>
        <w:tblLayout w:type="fixed"/>
        <w:tblLook w:val="0600"/>
      </w:tblPr>
      <w:tblGrid>
        <w:gridCol w:w="2565"/>
        <w:gridCol w:w="795"/>
        <w:gridCol w:w="795"/>
        <w:gridCol w:w="810"/>
        <w:gridCol w:w="810"/>
        <w:gridCol w:w="795"/>
        <w:gridCol w:w="795"/>
      </w:tblGrid>
      <w:tr>
        <w:tblPrEx>
          <w:tblW w:w="7365" w:type="dxa"/>
          <w:tblLayout w:type="fixed"/>
          <w:tblLook w:val="0600"/>
        </w:tblPrEx>
        <w:trPr>
          <w:trHeight w:val="240"/>
        </w:trPr>
        <w:tc>
          <w:tcPr>
            <w:tcW w:w="256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795" w:type="dxa"/>
            <w:tcBorders>
              <w:top w:val="nil"/>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nil"/>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10"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Shares in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Group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companies</w:t>
            </w:r>
          </w:p>
        </w:tc>
        <w:tc>
          <w:tcPr>
            <w:tcW w:w="810"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Shares in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other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companies</w:t>
            </w:r>
          </w:p>
        </w:tc>
        <w:tc>
          <w:tcPr>
            <w:tcW w:w="795"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795"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Acquisition cost at 1 January</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950</w:t>
            </w: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795" w:type="dxa"/>
            <w:tcBorders>
              <w:top w:val="single" w:sz="8" w:space="0" w:color="0F172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951</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Acquisition cost at 31 December</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950</w:t>
            </w: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795" w:type="dxa"/>
            <w:tcBorders>
              <w:top w:val="single" w:sz="4" w:space="0" w:color="004A6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952</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Carrying amount at 31 December 2021</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950</w:t>
            </w: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795" w:type="dxa"/>
            <w:tcBorders>
              <w:top w:val="single" w:sz="4" w:space="0" w:color="004A6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952</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Carrying amount at 31 December 2020</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950</w:t>
            </w: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795" w:type="dxa"/>
            <w:tcBorders>
              <w:top w:val="single" w:sz="4" w:space="0" w:color="004A6B"/>
              <w:left w:val="nil"/>
              <w:bottom w:val="single" w:sz="4" w:space="0" w:color="004A6B"/>
              <w:right w:val="nil"/>
              <w:tl2br w:val="nil"/>
              <w:tr2bl w:val="nil"/>
            </w:tcBorders>
            <w:shd w:val="clear" w:color="FFFFFF" w:fill="EBEBEB"/>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951</w:t>
            </w:r>
          </w:p>
        </w:tc>
      </w:tr>
    </w:tbl>
    <w:p/>
    <w:p w:rsidR="006E6F3B" w:rsidRPr="006E6F3B" w:rsidP="006E6F3B" w14:paraId="0B6D37E8" w14:textId="77777777">
      <w:pPr>
        <w:pStyle w:val="Heading11"/>
      </w:pPr>
      <w:bookmarkStart w:id="1519" w:name="RG_MARKER_7372"/>
      <w:r w:rsidRPr="006E6F3B">
        <w:t>7. NON-CURRENT RECEIVABLES</w:t>
      </w:r>
      <w:bookmarkEnd w:id="1519"/>
    </w:p>
    <w:tbl>
      <w:tblPr>
        <w:tblStyle w:val="TableNormal"/>
        <w:tblCaption w:val="parent_7"/>
        <w:tblDescription w:val="7. Non-current receivables"/>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Receivables from Group companies</w:t>
            </w:r>
          </w:p>
        </w:tc>
        <w:tc>
          <w:tcPr>
            <w:tcW w:w="159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Loan receivables</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90</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90</w:t>
            </w:r>
          </w:p>
        </w:tc>
        <w:tc>
          <w:tcPr>
            <w:tcW w:w="159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w:t>
            </w:r>
          </w:p>
        </w:tc>
      </w:tr>
    </w:tbl>
    <w:p/>
    <w:p w:rsidR="00D02B8D" w:rsidRPr="00D02B8D" w:rsidP="00D02B8D" w14:paraId="6C461FE6" w14:textId="77777777">
      <w:pPr>
        <w:pStyle w:val="Heading11"/>
      </w:pPr>
      <w:bookmarkStart w:id="1520" w:name="RG_MARKER_7371"/>
      <w:r w:rsidRPr="00D02B8D">
        <w:t>8. CURRENT RECEIVABLES FROM GROUP COMPANIES</w:t>
      </w:r>
      <w:bookmarkEnd w:id="1520"/>
    </w:p>
    <w:tbl>
      <w:tblPr>
        <w:tblStyle w:val="TableNormal"/>
        <w:tblCaption w:val="parent_8"/>
        <w:tblDescription w:val="8. Current receivables from Group companies"/>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receivables</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159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Loan receivables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1,693</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1,790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29</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receivables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Prepaid expenses and accrued income</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1,776</w:t>
            </w:r>
          </w:p>
        </w:tc>
        <w:tc>
          <w:tcPr>
            <w:tcW w:w="159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1,846</w:t>
            </w:r>
          </w:p>
        </w:tc>
      </w:tr>
    </w:tbl>
    <w:p w:rsidR="00B14CC9" w:rsidRPr="00364375" w:rsidP="00D02B8D" w14:textId="2F2967B7">
      <w:pPr>
        <w:pStyle w:val="Bodytext2"/>
        <w:rPr>
          <w:rFonts w:asciiTheme="minorHAnsi" w:hAnsiTheme="minorHAnsi" w:cstheme="minorHAnsi"/>
          <w:sz w:val="2"/>
          <w:szCs w:val="2"/>
        </w:rPr>
      </w:pPr>
      <w:r>
        <w:rPr>
          <w:szCs w:val="15"/>
        </w:rPr>
        <w:br w:type="column"/>
      </w:r>
    </w:p>
    <w:p w:rsidR="00035173" w:rsidRPr="00035173" w:rsidP="00035173" w14:paraId="20F4CFE4" w14:textId="77777777">
      <w:pPr>
        <w:pStyle w:val="Heading11"/>
      </w:pPr>
      <w:bookmarkStart w:id="1521" w:name="RG_MARKER_7370"/>
      <w:r w:rsidRPr="00035173">
        <w:t>9. PREPAID EXPENSES AND ACCRUED INCOME</w:t>
      </w:r>
      <w:bookmarkEnd w:id="1521"/>
    </w:p>
    <w:tbl>
      <w:tblPr>
        <w:tblStyle w:val="TableNormal"/>
        <w:tblCaption w:val="parent_9"/>
        <w:tblDescription w:val="9. Prepaid expenses and accrued income"/>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c>
          <w:tcPr>
            <w:tcW w:w="159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c>
          <w:tcPr>
            <w:tcW w:w="159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w:t>
            </w:r>
          </w:p>
        </w:tc>
      </w:tr>
    </w:tbl>
    <w:p/>
    <w:p w:rsidR="001D396C" w:rsidRPr="001D396C" w:rsidP="001D396C" w14:paraId="1B428783" w14:textId="77777777">
      <w:pPr>
        <w:pStyle w:val="Heading11"/>
      </w:pPr>
      <w:bookmarkStart w:id="1522" w:name="RG_MARKER_7369"/>
      <w:r w:rsidRPr="001D396C">
        <w:t>10. SHAREHOLDERS’ EQUITY</w:t>
      </w:r>
      <w:bookmarkEnd w:id="1522"/>
    </w:p>
    <w:tbl>
      <w:tblPr>
        <w:tblStyle w:val="TableNormal"/>
        <w:tblCaption w:val="parent_10"/>
        <w:tblDescription w:val="10. Shareholders' equity"/>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Share capital</w:t>
            </w:r>
          </w:p>
        </w:tc>
        <w:tc>
          <w:tcPr>
            <w:tcW w:w="159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Share capital on 1 January </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336</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Share capital on 31 December</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336</w:t>
            </w:r>
          </w:p>
        </w:tc>
        <w:tc>
          <w:tcPr>
            <w:tcW w:w="159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Share premium reserve</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Share premium reserve on 1 January</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61</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Share premium reserve on 31 December</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61</w:t>
            </w:r>
          </w:p>
        </w:tc>
        <w:tc>
          <w:tcPr>
            <w:tcW w:w="159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Reserve for own shares</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Reserve for own shares on 1 January</w:t>
            </w:r>
          </w:p>
        </w:tc>
        <w:tc>
          <w:tcPr>
            <w:tcW w:w="1590" w:type="dxa"/>
            <w:tcBorders>
              <w:top w:val="single" w:sz="4" w:space="0" w:color="004A6B"/>
              <w:left w:val="nil"/>
              <w:bottom w:val="single" w:sz="8" w:space="0" w:color="000000"/>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8" w:space="0" w:color="000000"/>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00000"/>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Reserve for own shares on 31 December</w:t>
            </w:r>
          </w:p>
        </w:tc>
        <w:tc>
          <w:tcPr>
            <w:tcW w:w="1590" w:type="dxa"/>
            <w:tcBorders>
              <w:top w:val="single" w:sz="8" w:space="0" w:color="000000"/>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1590" w:type="dxa"/>
            <w:tcBorders>
              <w:top w:val="single" w:sz="8" w:space="0" w:color="000000"/>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Retained earnings</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Retained earnings on 1 January</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974</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994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Dividends paid</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-118</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Result for the financial period</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188</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Retained earnings on 31 December</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1044</w:t>
            </w:r>
          </w:p>
        </w:tc>
        <w:tc>
          <w:tcPr>
            <w:tcW w:w="159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974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Total shareholders' equity</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1423</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1371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Distributable equity</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1026</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974</w:t>
            </w:r>
          </w:p>
        </w:tc>
      </w:tr>
    </w:tbl>
    <w:p w:rsidR="00515E73" w:rsidP="001D396C" w14:paraId="2098F131" w14:textId="77777777">
      <w:pPr>
        <w:pStyle w:val="Bodytext2"/>
      </w:pPr>
    </w:p>
    <w:p w:rsidR="00921682" w:rsidP="001D396C" w14:paraId="2868812B" w14:textId="3E25DBD4">
      <w:pPr>
        <w:pStyle w:val="Bodytext2"/>
      </w:pPr>
      <w:r>
        <w:t>At the end of the financial year 2021 the number of own shares held by Wärtsilä Oyj</w:t>
      </w:r>
      <w:r>
        <w:t xml:space="preserve"> was 1,700,000 (</w:t>
      </w:r>
      <w:r>
        <w:t>0) and the book value of these shares was EUR 18 million (</w:t>
      </w:r>
      <w:r>
        <w:t>0)</w:t>
      </w:r>
    </w:p>
    <w:p w:rsidR="001D396C" w:rsidRPr="00CA7465" w:rsidP="001D396C" w14:paraId="62556815" w14:textId="7E66C3FA">
      <w:pPr>
        <w:pStyle w:val="Bodytext2"/>
        <w:rPr>
          <w:sz w:val="2"/>
          <w:szCs w:val="2"/>
        </w:rPr>
      </w:pPr>
      <w:r>
        <w:br w:type="column"/>
      </w:r>
    </w:p>
    <w:p w:rsidR="00571367" w:rsidRPr="00571367" w:rsidP="00571367" w14:paraId="14DA3FC8" w14:textId="77777777">
      <w:pPr>
        <w:pStyle w:val="Heading11"/>
      </w:pPr>
      <w:bookmarkStart w:id="1523" w:name="RG_MARKER_7368"/>
      <w:r w:rsidRPr="00571367">
        <w:t>11. LIABILITIES</w:t>
      </w:r>
      <w:bookmarkEnd w:id="1523"/>
    </w:p>
    <w:tbl>
      <w:tblPr>
        <w:tblStyle w:val="TableNormal"/>
        <w:tblCaption w:val="parent_11_1"/>
        <w:tblDescription w:val="11. Liabilities"/>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Non-current</w:t>
            </w:r>
          </w:p>
        </w:tc>
        <w:tc>
          <w:tcPr>
            <w:tcW w:w="159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694</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00000"/>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Non-interest-bearing</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59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00000"/>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695</w:t>
            </w:r>
          </w:p>
        </w:tc>
        <w:tc>
          <w:tcPr>
            <w:tcW w:w="159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1,317</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1,202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Non-interest-bearing</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100</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108</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1,416</w:t>
            </w:r>
          </w:p>
        </w:tc>
        <w:tc>
          <w:tcPr>
            <w:tcW w:w="159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1,310</w:t>
            </w:r>
          </w:p>
        </w:tc>
      </w:tr>
    </w:tbl>
    <w:p w:rsidR="00571367" w:rsidRPr="00571367" w:rsidP="00571367" w14:paraId="539C331F" w14:textId="77777777">
      <w:pPr>
        <w:pStyle w:val="Bodytext2"/>
      </w:pPr>
    </w:p>
    <w:p w:rsidR="00571367" w:rsidP="00571367" w14:paraId="2A620D25" w14:textId="7278311B">
      <w:pPr>
        <w:pStyle w:val="Heading12"/>
      </w:pPr>
      <w:r w:rsidRPr="00571367">
        <w:t>Debt w</w:t>
      </w:r>
      <w:r w:rsidRPr="00571367">
        <w:t>ith maturity profile</w:t>
      </w:r>
    </w:p>
    <w:p w:rsidR="00D50E6B" w:rsidRPr="00D50E6B" w:rsidP="00372040" w14:paraId="0800D21F" w14:textId="77777777">
      <w:pPr>
        <w:pStyle w:val="Bodytext2"/>
      </w:pPr>
    </w:p>
    <w:tbl>
      <w:tblPr>
        <w:tblStyle w:val="TableNormal"/>
        <w:tblCaption w:val="parent_11_2"/>
        <w:tblW w:w="7365" w:type="dxa"/>
        <w:tblLayout w:type="fixed"/>
        <w:tblLook w:val="0600"/>
      </w:tblPr>
      <w:tblGrid>
        <w:gridCol w:w="4185"/>
        <w:gridCol w:w="1590"/>
        <w:gridCol w:w="1590"/>
      </w:tblGrid>
      <w:tr>
        <w:tblPrEx>
          <w:tblW w:w="7365" w:type="dxa"/>
          <w:tblLayout w:type="fixed"/>
          <w:tblLook w:val="0600"/>
        </w:tblPrEx>
        <w:trPr>
          <w:trHeight w:val="240"/>
        </w:trPr>
        <w:tc>
          <w:tcPr>
            <w:tcW w:w="4185"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Loans from financial institutions:</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763</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1,084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&lt;1 year</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70</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Long-term       </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 years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589</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661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 &gt;5 years</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104</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763</w:t>
            </w:r>
          </w:p>
        </w:tc>
        <w:tc>
          <w:tcPr>
            <w:tcW w:w="159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1,084</w:t>
            </w:r>
          </w:p>
        </w:tc>
      </w:tr>
    </w:tbl>
    <w:p/>
    <w:p w:rsidR="00E63364" w:rsidP="00E63364" w14:paraId="60F7C573" w14:textId="77777777">
      <w:pPr>
        <w:pStyle w:val="Heading11"/>
      </w:pPr>
      <w:bookmarkStart w:id="1524" w:name="RG_MARKER_7367"/>
      <w:r>
        <w:t>12. ACCRUED EXPENSES AND DEFERRED INCOME</w:t>
      </w:r>
      <w:bookmarkEnd w:id="1524"/>
    </w:p>
    <w:tbl>
      <w:tblPr>
        <w:tblStyle w:val="TableNormal"/>
        <w:tblCaption w:val="parent_12"/>
        <w:tblDescription w:val="12. Accrued expenses and deferred income"/>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159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Personnel costs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and other financial items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w:t>
            </w:r>
          </w:p>
        </w:tc>
        <w:tc>
          <w:tcPr>
            <w:tcW w:w="159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44</w:t>
            </w:r>
          </w:p>
        </w:tc>
      </w:tr>
    </w:tbl>
    <w:p w:rsidR="00E63364" w:rsidRPr="004F4E44" w:rsidP="00E63364" w14:paraId="1C5EC9D6" w14:textId="5D330373">
      <w:pPr>
        <w:pStyle w:val="Bodytext2"/>
        <w:rPr>
          <w:rFonts w:asciiTheme="minorHAnsi" w:hAnsiTheme="minorHAnsi" w:cstheme="minorHAnsi"/>
          <w:sz w:val="2"/>
          <w:szCs w:val="2"/>
        </w:rPr>
      </w:pPr>
      <w:r>
        <w:rPr>
          <w:szCs w:val="15"/>
        </w:rPr>
        <w:br w:type="column"/>
      </w:r>
    </w:p>
    <w:p w:rsidR="001D683E" w:rsidRPr="001D683E" w:rsidP="001D683E" w14:paraId="72905C2F" w14:textId="77777777">
      <w:pPr>
        <w:pStyle w:val="Heading11"/>
      </w:pPr>
      <w:bookmarkStart w:id="1525" w:name="RG_MARKER_7366"/>
      <w:r w:rsidRPr="001D683E">
        <w:t>13. LIABILITIES TO GROUP COMPANIES</w:t>
      </w:r>
      <w:bookmarkEnd w:id="1525"/>
    </w:p>
    <w:tbl>
      <w:tblPr>
        <w:tblStyle w:val="TableNormal"/>
        <w:tblCaption w:val="parent_13"/>
        <w:tblDescription w:val="13. Liabilities to Group companies"/>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payables</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c>
          <w:tcPr>
            <w:tcW w:w="159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current liabilities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1,247</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1,072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Accrued expenses and deferred income</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1,294</w:t>
            </w:r>
          </w:p>
        </w:tc>
        <w:tc>
          <w:tcPr>
            <w:tcW w:w="159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1,129</w:t>
            </w:r>
          </w:p>
        </w:tc>
      </w:tr>
    </w:tbl>
    <w:p/>
    <w:p w:rsidR="001E1DC2" w:rsidP="001E1DC2" w14:paraId="6463C3D8" w14:textId="77777777">
      <w:pPr>
        <w:pStyle w:val="Heading11"/>
      </w:pPr>
      <w:bookmarkStart w:id="1526" w:name="RG_MARKER_7365"/>
      <w:r>
        <w:t>14. FINANCIAL ASSETS AND LIABILITIES BY MEASUREMENT CATEGORY</w:t>
      </w:r>
      <w:bookmarkEnd w:id="1526"/>
    </w:p>
    <w:p w:rsidR="00E34EA2" w:rsidP="00E34EA2" w14:paraId="60A1115B" w14:textId="44130629">
      <w:pPr>
        <w:pStyle w:val="Heading12"/>
      </w:pPr>
      <w:r>
        <w:t>2021</w:t>
      </w:r>
    </w:p>
    <w:tbl>
      <w:tblPr>
        <w:tblStyle w:val="TableNormal"/>
        <w:tblCaption w:val="parent_14_1"/>
        <w:tblDescription w:val="14. Financial assets and liabilities by measurement category"/>
        <w:tblW w:w="7365" w:type="dxa"/>
        <w:tblLayout w:type="fixed"/>
        <w:tblLook w:val="0600"/>
      </w:tblPr>
      <w:tblGrid>
        <w:gridCol w:w="300"/>
        <w:gridCol w:w="3405"/>
        <w:gridCol w:w="915"/>
        <w:gridCol w:w="915"/>
        <w:gridCol w:w="915"/>
        <w:gridCol w:w="915"/>
      </w:tblGrid>
      <w:tr>
        <w:tblPrEx>
          <w:tblW w:w="7365" w:type="dxa"/>
          <w:tblLayout w:type="fixed"/>
          <w:tblLook w:val="0600"/>
        </w:tblPrEx>
        <w:trPr>
          <w:trHeight w:val="240"/>
        </w:trPr>
        <w:tc>
          <w:tcPr>
            <w:tcW w:w="3705" w:type="dxa"/>
            <w:gridSpan w:val="2"/>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915" w:type="dxa"/>
            <w:tcBorders>
              <w:top w:val="nil"/>
              <w:left w:val="nil"/>
              <w:bottom w:val="single" w:sz="8" w:space="0" w:color="0F172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Measured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amortised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cost</w:t>
            </w:r>
          </w:p>
        </w:tc>
        <w:tc>
          <w:tcPr>
            <w:tcW w:w="915" w:type="dxa"/>
            <w:tcBorders>
              <w:top w:val="nil"/>
              <w:left w:val="nil"/>
              <w:bottom w:val="single" w:sz="8" w:space="0" w:color="0F172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At fair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value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through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the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statement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of income</w:t>
            </w:r>
          </w:p>
        </w:tc>
        <w:tc>
          <w:tcPr>
            <w:tcW w:w="915" w:type="dxa"/>
            <w:tcBorders>
              <w:top w:val="nil"/>
              <w:left w:val="nil"/>
              <w:bottom w:val="single" w:sz="8" w:space="0" w:color="0F172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Carrying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amounts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of the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statement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of financial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position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items</w:t>
            </w:r>
          </w:p>
        </w:tc>
        <w:tc>
          <w:tcPr>
            <w:tcW w:w="915" w:type="dxa"/>
            <w:tcBorders>
              <w:top w:val="nil"/>
              <w:left w:val="nil"/>
              <w:bottom w:val="single" w:sz="8" w:space="0" w:color="0F172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Fair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value</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Non-current financial assets</w:t>
            </w:r>
          </w:p>
        </w:tc>
        <w:tc>
          <w:tcPr>
            <w:tcW w:w="915"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receivables from Group companies</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90</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90</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 from Group companies</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receivables</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 financial assets</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receivables from Group companies</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1,693</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1,693</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1,693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receivables</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receivables from Group companies</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 from Group companies</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receivables from Group companies</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equivalents</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276</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276</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276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8" w:space="0" w:color="0F172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and bank</w:t>
            </w:r>
          </w:p>
        </w:tc>
        <w:tc>
          <w:tcPr>
            <w:tcW w:w="91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409</w:t>
            </w:r>
          </w:p>
        </w:tc>
        <w:tc>
          <w:tcPr>
            <w:tcW w:w="915" w:type="dxa"/>
            <w:tcBorders>
              <w:top w:val="single" w:sz="4" w:space="0" w:color="004A6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409</w:t>
            </w:r>
          </w:p>
        </w:tc>
        <w:tc>
          <w:tcPr>
            <w:tcW w:w="91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409</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Carrying amount by category</w:t>
            </w:r>
          </w:p>
        </w:tc>
        <w:tc>
          <w:tcPr>
            <w:tcW w:w="915"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2,519</w:t>
            </w:r>
          </w:p>
        </w:tc>
        <w:tc>
          <w:tcPr>
            <w:tcW w:w="915"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45</w:t>
            </w:r>
          </w:p>
        </w:tc>
        <w:tc>
          <w:tcPr>
            <w:tcW w:w="915"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2,565</w:t>
            </w:r>
          </w:p>
        </w:tc>
        <w:tc>
          <w:tcPr>
            <w:tcW w:w="915"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2,565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340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Non-current financial liabilities</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debt</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694</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694</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 from Group companies</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 financial liabilities</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debt</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70</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70</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debt to Group companies</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1,247</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1,247</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1,247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payables</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payables to Group companies</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 to Group companies</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8" w:space="0" w:color="0F172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liabilities</w:t>
            </w:r>
          </w:p>
        </w:tc>
        <w:tc>
          <w:tcPr>
            <w:tcW w:w="91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915" w:type="dxa"/>
            <w:tcBorders>
              <w:top w:val="single" w:sz="4" w:space="0" w:color="004A6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91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Carrying amount by category</w:t>
            </w:r>
          </w:p>
        </w:tc>
        <w:tc>
          <w:tcPr>
            <w:tcW w:w="915"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2,044</w:t>
            </w:r>
          </w:p>
        </w:tc>
        <w:tc>
          <w:tcPr>
            <w:tcW w:w="915"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45</w:t>
            </w:r>
          </w:p>
        </w:tc>
        <w:tc>
          <w:tcPr>
            <w:tcW w:w="915"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2,089</w:t>
            </w:r>
          </w:p>
        </w:tc>
        <w:tc>
          <w:tcPr>
            <w:tcW w:w="915"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2,089</w:t>
            </w:r>
          </w:p>
        </w:tc>
      </w:tr>
    </w:tbl>
    <w:p w:rsidR="001E1DC2" w:rsidP="001E1DC2" w14:paraId="2A5FD5FF" w14:textId="77777777">
      <w:pPr>
        <w:pStyle w:val="Bodytext2"/>
        <w:rPr>
          <w:szCs w:val="15"/>
        </w:rPr>
      </w:pPr>
    </w:p>
    <w:p w:rsidR="00E34EA2" w:rsidP="00E34EA2" w14:paraId="5363C36E" w14:textId="2B78E03B">
      <w:pPr>
        <w:pStyle w:val="Heading12"/>
      </w:pPr>
      <w:r>
        <w:t>2020</w:t>
      </w:r>
    </w:p>
    <w:tbl>
      <w:tblPr>
        <w:tblStyle w:val="TableNormal"/>
        <w:tblCaption w:val="parent_14_2"/>
        <w:tblW w:w="7365" w:type="dxa"/>
        <w:tblLayout w:type="fixed"/>
        <w:tblLook w:val="0600"/>
      </w:tblPr>
      <w:tblGrid>
        <w:gridCol w:w="300"/>
        <w:gridCol w:w="3405"/>
        <w:gridCol w:w="915"/>
        <w:gridCol w:w="915"/>
        <w:gridCol w:w="915"/>
        <w:gridCol w:w="915"/>
      </w:tblGrid>
      <w:tr>
        <w:tblPrEx>
          <w:tblW w:w="7365" w:type="dxa"/>
          <w:tblLayout w:type="fixed"/>
          <w:tblLook w:val="0600"/>
        </w:tblPrEx>
        <w:trPr>
          <w:trHeight w:val="240"/>
        </w:trPr>
        <w:tc>
          <w:tcPr>
            <w:tcW w:w="3705" w:type="dxa"/>
            <w:gridSpan w:val="2"/>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915"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Measured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amortised</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cost</w:t>
            </w:r>
          </w:p>
        </w:tc>
        <w:tc>
          <w:tcPr>
            <w:tcW w:w="915"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At fair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value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through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the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statement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of income</w:t>
            </w:r>
          </w:p>
        </w:tc>
        <w:tc>
          <w:tcPr>
            <w:tcW w:w="915"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Carrying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amounts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of the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statement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of financial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position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items</w:t>
            </w:r>
          </w:p>
        </w:tc>
        <w:tc>
          <w:tcPr>
            <w:tcW w:w="915"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Fair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value</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Non-current financial assets</w:t>
            </w:r>
          </w:p>
        </w:tc>
        <w:tc>
          <w:tcPr>
            <w:tcW w:w="9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receivables from Group companies</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 from Group companies</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receivables</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 financial assets</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receivables from Group companies</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1,790</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1,790</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1,790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receivables from Group companies</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 from Group companies</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receivables from Group companies</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equivalents</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332</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332</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8" w:space="0" w:color="0F172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Cash and bank</w:t>
            </w:r>
          </w:p>
        </w:tc>
        <w:tc>
          <w:tcPr>
            <w:tcW w:w="91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367</w:t>
            </w:r>
          </w:p>
        </w:tc>
        <w:tc>
          <w:tcPr>
            <w:tcW w:w="91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367</w:t>
            </w:r>
          </w:p>
        </w:tc>
        <w:tc>
          <w:tcPr>
            <w:tcW w:w="91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705" w:type="dxa"/>
            <w:gridSpan w:val="2"/>
            <w:tcBorders>
              <w:top w:val="single" w:sz="8" w:space="0" w:color="0F172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Carrying amount by category</w:t>
            </w:r>
          </w:p>
        </w:tc>
        <w:tc>
          <w:tcPr>
            <w:tcW w:w="91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2,610</w:t>
            </w:r>
          </w:p>
        </w:tc>
        <w:tc>
          <w:tcPr>
            <w:tcW w:w="91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63</w:t>
            </w:r>
          </w:p>
        </w:tc>
        <w:tc>
          <w:tcPr>
            <w:tcW w:w="91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2,673</w:t>
            </w:r>
          </w:p>
        </w:tc>
        <w:tc>
          <w:tcPr>
            <w:tcW w:w="91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2,673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340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Non-current financial liabilities</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debt</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953</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953</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 to Group companies</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Current financial liabilities</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debt</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130</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130</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Interest-bearing debt to Group companies</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1,072</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1,072</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1,072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payables</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Trade payables to Group companies</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Derivatives to Group companies</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8" w:space="0" w:color="0F172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liabilities</w:t>
            </w:r>
          </w:p>
        </w:tc>
        <w:tc>
          <w:tcPr>
            <w:tcW w:w="91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91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91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Carrying amount by category</w:t>
            </w:r>
          </w:p>
        </w:tc>
        <w:tc>
          <w:tcPr>
            <w:tcW w:w="91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2,177</w:t>
            </w:r>
          </w:p>
        </w:tc>
        <w:tc>
          <w:tcPr>
            <w:tcW w:w="91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70</w:t>
            </w:r>
          </w:p>
        </w:tc>
        <w:tc>
          <w:tcPr>
            <w:tcW w:w="91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2,247</w:t>
            </w:r>
          </w:p>
        </w:tc>
        <w:tc>
          <w:tcPr>
            <w:tcW w:w="91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2,257</w:t>
            </w:r>
          </w:p>
        </w:tc>
      </w:tr>
    </w:tbl>
    <w:p w:rsidR="001E1DC2" w:rsidP="001E1DC2" w14:paraId="0137CABF" w14:textId="77777777">
      <w:pPr>
        <w:pStyle w:val="Bodytext2"/>
        <w:rPr>
          <w:szCs w:val="15"/>
        </w:rPr>
      </w:pPr>
    </w:p>
    <w:p w:rsidR="001E1DC2" w:rsidRPr="009D0396" w:rsidP="001E1DC2" w14:paraId="5469B8D5" w14:textId="67768F66">
      <w:pPr>
        <w:pStyle w:val="Bodytext2"/>
        <w:rPr>
          <w:sz w:val="2"/>
          <w:szCs w:val="2"/>
        </w:rPr>
      </w:pPr>
      <w:r>
        <w:rPr>
          <w:szCs w:val="15"/>
        </w:rPr>
        <w:t xml:space="preserve">Information about the fair value hierarchy and valuation principle can be found in Consolidated Financial Statements Note 5.2. Financial </w:t>
      </w:r>
      <w:r>
        <w:rPr>
          <w:szCs w:val="15"/>
        </w:rPr>
        <w:t>assets and liabilities by measurement category.</w:t>
      </w:r>
      <w:r>
        <w:rPr>
          <w:szCs w:val="15"/>
        </w:rPr>
        <w:br w:type="column"/>
      </w:r>
    </w:p>
    <w:p w:rsidR="00A762E5" w:rsidRPr="00A762E5" w:rsidP="00A762E5" w14:paraId="1CCC7DF5" w14:textId="77777777">
      <w:pPr>
        <w:pStyle w:val="Heading11"/>
      </w:pPr>
      <w:bookmarkStart w:id="1527" w:name="RG_MARKER_7364"/>
      <w:r w:rsidRPr="00A762E5">
        <w:t>15. DERIVATIVE FINANCIAL INSTRUMENTS</w:t>
      </w:r>
      <w:bookmarkEnd w:id="1527"/>
    </w:p>
    <w:p w:rsidR="006B5F73" w:rsidP="006B5F73" w14:paraId="244C0128" w14:textId="1C1BE838">
      <w:pPr>
        <w:pStyle w:val="Heading12"/>
      </w:pPr>
      <w:r>
        <w:t>2021</w:t>
      </w:r>
    </w:p>
    <w:tbl>
      <w:tblPr>
        <w:tblStyle w:val="TableNormal"/>
        <w:tblCaption w:val="parent_15_1"/>
        <w:tblDescription w:val="15. Derivative financial instruments"/>
        <w:tblW w:w="7365" w:type="dxa"/>
        <w:tblLayout w:type="fixed"/>
        <w:tblLook w:val="0600"/>
      </w:tblPr>
      <w:tblGrid>
        <w:gridCol w:w="300"/>
        <w:gridCol w:w="3915"/>
        <w:gridCol w:w="1050"/>
        <w:gridCol w:w="1050"/>
        <w:gridCol w:w="1050"/>
      </w:tblGrid>
      <w:tr>
        <w:tblPrEx>
          <w:tblW w:w="7365" w:type="dxa"/>
          <w:tblLayout w:type="fixed"/>
          <w:tblLook w:val="0600"/>
        </w:tblPrEx>
        <w:trPr>
          <w:trHeight w:val="240"/>
        </w:trPr>
        <w:tc>
          <w:tcPr>
            <w:tcW w:w="4215" w:type="dxa"/>
            <w:gridSpan w:val="2"/>
            <w:tcBorders>
              <w:top w:val="nil"/>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050" w:type="dxa"/>
            <w:tcBorders>
              <w:top w:val="nil"/>
              <w:left w:val="nil"/>
              <w:bottom w:val="single" w:sz="8" w:space="0" w:color="0F172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With</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external</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financial</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institutions</w:t>
            </w:r>
          </w:p>
        </w:tc>
        <w:tc>
          <w:tcPr>
            <w:tcW w:w="1050" w:type="dxa"/>
            <w:tcBorders>
              <w:top w:val="nil"/>
              <w:left w:val="nil"/>
              <w:bottom w:val="single" w:sz="8" w:space="0" w:color="0F172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With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Group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companies</w:t>
            </w:r>
          </w:p>
        </w:tc>
        <w:tc>
          <w:tcPr>
            <w:tcW w:w="1050" w:type="dxa"/>
            <w:tcBorders>
              <w:top w:val="nil"/>
              <w:left w:val="nil"/>
              <w:bottom w:val="single" w:sz="8" w:space="0" w:color="0F172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Nominal values of derivative financial instruments </w:t>
            </w:r>
          </w:p>
        </w:tc>
        <w:tc>
          <w:tcPr>
            <w:tcW w:w="105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Currency forwards, transaction risk</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2,053</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2,042</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4,095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rate swaps</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408</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130</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538</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Cross currency swaps</w:t>
            </w:r>
          </w:p>
        </w:tc>
        <w:tc>
          <w:tcPr>
            <w:tcW w:w="105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153</w:t>
            </w:r>
          </w:p>
        </w:tc>
        <w:tc>
          <w:tcPr>
            <w:tcW w:w="1050" w:type="dxa"/>
            <w:tcBorders>
              <w:top w:val="single" w:sz="4" w:space="0" w:color="004A6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5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050" w:type="dxa"/>
            <w:tcBorders>
              <w:top w:val="single" w:sz="8" w:space="0" w:color="0F172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50" w:type="dxa"/>
            <w:tcBorders>
              <w:top w:val="single" w:sz="8" w:space="0" w:color="0F172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5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4,787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39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05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05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215" w:type="dxa"/>
            <w:gridSpan w:val="2"/>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Fair values of derivative financial instruments (level 2)</w:t>
            </w:r>
          </w:p>
        </w:tc>
        <w:tc>
          <w:tcPr>
            <w:tcW w:w="105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05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05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Currency forwards, transaction risk</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rate swaps</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Cross currency swaps</w:t>
            </w:r>
          </w:p>
        </w:tc>
        <w:tc>
          <w:tcPr>
            <w:tcW w:w="105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050" w:type="dxa"/>
            <w:tcBorders>
              <w:top w:val="single" w:sz="4" w:space="0" w:color="004A6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05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050" w:type="dxa"/>
            <w:tcBorders>
              <w:top w:val="single" w:sz="8" w:space="0" w:color="0F172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50" w:type="dxa"/>
            <w:tcBorders>
              <w:top w:val="single" w:sz="8" w:space="0" w:color="0F172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050" w:type="dxa"/>
            <w:tcBorders>
              <w:top w:val="single" w:sz="8" w:space="0" w:color="0F172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bl>
    <w:p w:rsidR="004318B5" w:rsidP="00A762E5" w14:paraId="3D30F818" w14:textId="77777777">
      <w:pPr>
        <w:pStyle w:val="Bodytext2"/>
      </w:pPr>
    </w:p>
    <w:p w:rsidR="006B5F73" w:rsidP="006B5F73" w14:paraId="5EA07A4E" w14:textId="18D7E2F6">
      <w:pPr>
        <w:pStyle w:val="Heading12"/>
      </w:pPr>
      <w:r>
        <w:t>2020</w:t>
      </w:r>
    </w:p>
    <w:tbl>
      <w:tblPr>
        <w:tblStyle w:val="TableNormal"/>
        <w:tblCaption w:val="parent_15_2"/>
        <w:tblW w:w="7365" w:type="dxa"/>
        <w:tblLayout w:type="fixed"/>
        <w:tblLook w:val="0600"/>
      </w:tblPr>
      <w:tblGrid>
        <w:gridCol w:w="300"/>
        <w:gridCol w:w="3915"/>
        <w:gridCol w:w="1050"/>
        <w:gridCol w:w="1050"/>
        <w:gridCol w:w="1050"/>
      </w:tblGrid>
      <w:tr>
        <w:tblPrEx>
          <w:tblW w:w="7365" w:type="dxa"/>
          <w:tblLayout w:type="fixed"/>
          <w:tblLook w:val="0600"/>
        </w:tblPrEx>
        <w:trPr>
          <w:trHeight w:val="240"/>
        </w:trPr>
        <w:tc>
          <w:tcPr>
            <w:tcW w:w="4215" w:type="dxa"/>
            <w:gridSpan w:val="2"/>
            <w:tcBorders>
              <w:top w:val="nil"/>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050"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With</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external</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financial</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institutions</w:t>
            </w:r>
          </w:p>
        </w:tc>
        <w:tc>
          <w:tcPr>
            <w:tcW w:w="1050"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With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Group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companies</w:t>
            </w:r>
          </w:p>
        </w:tc>
        <w:tc>
          <w:tcPr>
            <w:tcW w:w="1050" w:type="dxa"/>
            <w:tcBorders>
              <w:top w:val="nil"/>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Nominal values of derivative financial instruments </w:t>
            </w:r>
          </w:p>
        </w:tc>
        <w:tc>
          <w:tcPr>
            <w:tcW w:w="10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Currency forwards, transaction risk</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1,649</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1,861</w:t>
            </w:r>
          </w:p>
        </w:tc>
        <w:tc>
          <w:tcPr>
            <w:tcW w:w="10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3,509</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rate swaps</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450</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130</w:t>
            </w:r>
          </w:p>
        </w:tc>
        <w:tc>
          <w:tcPr>
            <w:tcW w:w="10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Cross currency swaps</w:t>
            </w:r>
          </w:p>
        </w:tc>
        <w:tc>
          <w:tcPr>
            <w:tcW w:w="105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237</w:t>
            </w:r>
          </w:p>
        </w:tc>
        <w:tc>
          <w:tcPr>
            <w:tcW w:w="105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5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050" w:type="dxa"/>
            <w:tcBorders>
              <w:top w:val="single" w:sz="8" w:space="0" w:color="0F172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4,327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39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215" w:type="dxa"/>
            <w:gridSpan w:val="2"/>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Fair values of derivative financial instruments (level 2)</w:t>
            </w:r>
          </w:p>
        </w:tc>
        <w:tc>
          <w:tcPr>
            <w:tcW w:w="10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5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Currency forwards, transaction risk</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w:t>
            </w:r>
          </w:p>
        </w:tc>
        <w:tc>
          <w:tcPr>
            <w:tcW w:w="10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Interest rate swaps</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10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Cross currency swaps</w:t>
            </w:r>
          </w:p>
        </w:tc>
        <w:tc>
          <w:tcPr>
            <w:tcW w:w="105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c>
          <w:tcPr>
            <w:tcW w:w="105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5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050" w:type="dxa"/>
            <w:tcBorders>
              <w:top w:val="single" w:sz="8" w:space="0" w:color="0F172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r>
    </w:tbl>
    <w:p w:rsidR="00A762E5" w:rsidRPr="00A762E5" w:rsidP="00A762E5" w14:paraId="29698A13" w14:textId="77777777">
      <w:pPr>
        <w:pStyle w:val="Bodytext2"/>
      </w:pPr>
    </w:p>
    <w:p w:rsidR="00B14CC9" w:rsidRPr="00A762E5" w:rsidP="00A762E5" w14:textId="6592F311">
      <w:pPr>
        <w:pStyle w:val="Bodytext2"/>
      </w:pPr>
      <w:r w:rsidRPr="00A762E5">
        <w:t xml:space="preserve">Foreign currency forward contracts are against transactional risks and are matched against the hedged cashflows. Interest rate swaps are denominated in euros and the average interest-bearing period for external contracts is </w:t>
      </w:r>
      <w:r>
        <w:t>52</w:t>
      </w:r>
      <w:r w:rsidRPr="00A762E5">
        <w:t xml:space="preserve"> (</w:t>
      </w:r>
      <w:r>
        <w:t>59</w:t>
      </w:r>
      <w:r w:rsidRPr="00A762E5">
        <w:t xml:space="preserve">) months and </w:t>
      </w:r>
      <w:r>
        <w:t>113</w:t>
      </w:r>
      <w:r w:rsidRPr="00A762E5">
        <w:t xml:space="preserve"> (</w:t>
      </w:r>
      <w:r>
        <w:t>125</w:t>
      </w:r>
      <w:r w:rsidRPr="00A762E5">
        <w:t>) mon</w:t>
      </w:r>
      <w:r w:rsidRPr="00A762E5">
        <w:t xml:space="preserve">ths for intragroup contracts. The average maturity for cross currency swaps is </w:t>
      </w:r>
      <w:r>
        <w:t>31</w:t>
      </w:r>
      <w:r w:rsidRPr="00A762E5">
        <w:t xml:space="preserve"> (</w:t>
      </w:r>
      <w:r>
        <w:t>30</w:t>
      </w:r>
      <w:r w:rsidRPr="00A762E5">
        <w:t>) months.</w:t>
      </w:r>
    </w:p>
    <w:p w:rsidR="0033123E" w:rsidRPr="0033123E" w:rsidP="0033123E" w14:paraId="29329F20" w14:textId="77777777">
      <w:pPr>
        <w:pStyle w:val="Heading11"/>
      </w:pPr>
      <w:bookmarkStart w:id="1528" w:name="RG_MARKER_7363"/>
      <w:r w:rsidRPr="0033123E">
        <w:t>16. FINANCIAL RISKS</w:t>
      </w:r>
      <w:bookmarkEnd w:id="1528"/>
    </w:p>
    <w:p w:rsidR="0033123E" w:rsidRPr="0033123E" w:rsidP="0033123E" w14:paraId="160F5EE0" w14:textId="77777777">
      <w:pPr>
        <w:pStyle w:val="Heading12"/>
      </w:pPr>
      <w:r w:rsidRPr="0033123E">
        <w:t>General</w:t>
      </w:r>
    </w:p>
    <w:p w:rsidR="0033123E" w:rsidP="0033123E" w14:paraId="66B77F74" w14:textId="3658CCED">
      <w:pPr>
        <w:pStyle w:val="Bodytext2"/>
      </w:pPr>
      <w:r w:rsidRPr="0033123E">
        <w:t>Wärtsilä has a centralised</w:t>
      </w:r>
      <w:r w:rsidRPr="0033123E">
        <w:t xml:space="preserve"> Group Treasury with two main objectives: 1) to arrange adequate funding for the Group’s underlying operations on competitive terms and 2) to identify and evaluate the financial risks within the Group and implement the hedges for the Group companies. The G</w:t>
      </w:r>
      <w:r w:rsidRPr="0033123E">
        <w:t>roup Treasury is organisationally within the Parent Company.</w:t>
      </w:r>
    </w:p>
    <w:p w:rsidR="0033123E" w:rsidRPr="0033123E" w:rsidP="0033123E" w14:paraId="07BA6257" w14:textId="77777777">
      <w:pPr>
        <w:pStyle w:val="Bodytext2"/>
      </w:pPr>
    </w:p>
    <w:p w:rsidR="0033123E" w:rsidP="0033123E" w14:paraId="28A17B4E" w14:textId="3A6FD5B1">
      <w:pPr>
        <w:pStyle w:val="Bodytext2"/>
      </w:pPr>
      <w:r w:rsidRPr="0033123E">
        <w:t xml:space="preserve">The details about the management of the Group's financial risks are in Note </w:t>
      </w:r>
      <w:r>
        <w:t>5.8.</w:t>
      </w:r>
      <w:r w:rsidRPr="0033123E">
        <w:t xml:space="preserve"> of the Consolidated Financial statements. As the Group's liquidity and interest rate risks are managed at the paren</w:t>
      </w:r>
      <w:r w:rsidRPr="0033123E">
        <w:t>t company level the group reporting applies fully to the Parent Company.</w:t>
      </w:r>
    </w:p>
    <w:p w:rsidR="0033123E" w:rsidRPr="0033123E" w:rsidP="0033123E" w14:paraId="0CB02EC2" w14:textId="77777777">
      <w:pPr>
        <w:pStyle w:val="Bodytext2"/>
      </w:pPr>
    </w:p>
    <w:p w:rsidR="0033123E" w:rsidRPr="0033123E" w:rsidP="0033123E" w14:paraId="560423F8" w14:textId="77777777">
      <w:pPr>
        <w:pStyle w:val="Heading12"/>
      </w:pPr>
      <w:r w:rsidRPr="0033123E">
        <w:t>Foreign exchange risk</w:t>
      </w:r>
    </w:p>
    <w:p w:rsidR="0033123E" w:rsidRPr="0033123E" w:rsidP="0033123E" w14:paraId="77E4C99E" w14:textId="057A6B8E">
      <w:pPr>
        <w:pStyle w:val="Bodytext2"/>
      </w:pPr>
      <w:r w:rsidRPr="0033123E">
        <w:t xml:space="preserve">Operative foreign currency risks are followed and hedged at the subsidiary level. The Group Treasury acts as a counterparty to these hedges, if that is allowed </w:t>
      </w:r>
      <w:r w:rsidRPr="0033123E">
        <w:t>by local regulations. To enable netting of intragroup currency flows and to reduce the amount of external transactions the Group Treasury is allowed to have minor unhedged exposures in different currencies. Any gains/losses from the Group Treasury's operat</w:t>
      </w:r>
      <w:r w:rsidRPr="0033123E">
        <w:t>ions are booked directly into the financial items and we do not expect any material foreign exchange gains/losses from the Group Treasury's operations.</w:t>
      </w:r>
    </w:p>
    <w:p w:rsidR="00B14CC9" w:rsidRPr="0033123E" w:rsidP="0033123E" w14:textId="76580131">
      <w:pPr>
        <w:pStyle w:val="Bodytext2"/>
        <w:rPr>
          <w:sz w:val="2"/>
          <w:szCs w:val="2"/>
        </w:rPr>
      </w:pPr>
      <w:r>
        <w:t xml:space="preserve"> </w:t>
      </w:r>
    </w:p>
    <w:p/>
    <w:p w:rsidR="00B93D3E" w:rsidP="00B93D3E" w14:paraId="32BCB9BE" w14:textId="77777777">
      <w:pPr>
        <w:pStyle w:val="Heading11"/>
      </w:pPr>
      <w:bookmarkStart w:id="1529" w:name="RG_MARKER_7362"/>
      <w:r>
        <w:t>17. COLLATERAL, CONTINGENT LIABILITIES AND OTHER COMMITMENTS</w:t>
      </w:r>
      <w:bookmarkEnd w:id="1529"/>
    </w:p>
    <w:tbl>
      <w:tblPr>
        <w:tblStyle w:val="TableNormal"/>
        <w:tblCaption w:val="parent_17"/>
        <w:tblDescription w:val="17. Collateral, contingent liabilities and other commitments"/>
        <w:tblW w:w="7365" w:type="dxa"/>
        <w:tblLayout w:type="fixed"/>
        <w:tblLook w:val="0600"/>
      </w:tblPr>
      <w:tblGrid>
        <w:gridCol w:w="4185"/>
        <w:gridCol w:w="1590"/>
        <w:gridCol w:w="1590"/>
      </w:tblGrid>
      <w:tr>
        <w:tblPrEx>
          <w:tblW w:w="7365" w:type="dxa"/>
          <w:tblLayout w:type="fixed"/>
          <w:tblLook w:val="0600"/>
        </w:tblPrEx>
        <w:trPr>
          <w:trHeight w:val="240"/>
        </w:trPr>
        <w:tc>
          <w:tcPr>
            <w:tcW w:w="4185" w:type="dxa"/>
            <w:tcBorders>
              <w:top w:val="nil"/>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Guarantees and contingent liabilities</w:t>
            </w:r>
          </w:p>
        </w:tc>
        <w:tc>
          <w:tcPr>
            <w:tcW w:w="159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On behalf of Group companies</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4,162</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2,889</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4,162</w:t>
            </w:r>
          </w:p>
        </w:tc>
        <w:tc>
          <w:tcPr>
            <w:tcW w:w="159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2,889</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18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Future nominal lease payments</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Payable within one year</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Payable after one year</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27</w:t>
            </w:r>
          </w:p>
        </w:tc>
        <w:tc>
          <w:tcPr>
            <w:tcW w:w="159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w:t>
            </w:r>
          </w:p>
        </w:tc>
      </w:tr>
    </w:tbl>
    <w:p w:rsidR="00B93D3E" w:rsidRPr="00D515C4" w:rsidP="00B93D3E" w14:paraId="0D2E8385" w14:textId="3EFD93CA">
      <w:pPr>
        <w:pStyle w:val="Bodytext2"/>
        <w:rPr>
          <w:sz w:val="2"/>
          <w:szCs w:val="2"/>
        </w:rPr>
      </w:pPr>
      <w:r>
        <w:br w:type="column"/>
      </w:r>
    </w:p>
    <w:p w:rsidR="00BC31BF" w:rsidP="00BC31BF" w14:paraId="78E2C078" w14:textId="77777777">
      <w:pPr>
        <w:pStyle w:val="Heading11"/>
      </w:pPr>
      <w:bookmarkStart w:id="1530" w:name="RG_MARKER_7361"/>
      <w:r>
        <w:t>18. RELATED PARTY LOANS AND OTHER COMMITMENTS</w:t>
      </w:r>
      <w:bookmarkEnd w:id="1530"/>
    </w:p>
    <w:p w:rsidR="00BC31BF" w:rsidRPr="00BC31BF" w:rsidP="00BC31BF" w14:paraId="2E88D983" w14:textId="512ED270">
      <w:pPr>
        <w:pStyle w:val="Bodytext2"/>
      </w:pPr>
      <w:r w:rsidRPr="00BC31BF">
        <w:t xml:space="preserve">There are no loans receivables from senior management and the members of the Board of Directors. No pledges or other commitments were given on behalf of senior management or shareholders. In Note </w:t>
      </w:r>
      <w:r>
        <w:t>7.2</w:t>
      </w:r>
      <w:r w:rsidRPr="00BC31BF">
        <w:t xml:space="preserve"> in </w:t>
      </w:r>
      <w:r w:rsidRPr="00BC31BF">
        <w:t xml:space="preserve">Consolidated Financial Statements, related party disclosures are specified. Related parties comprise the Board of Directors, the President and CEO, the Board of Management as well as the associated companies and joint ventures. In Notes 8 and 13 in Parent </w:t>
      </w:r>
      <w:r w:rsidRPr="00BC31BF">
        <w:t>Company financial statement, receivables and liabilities from Group companies are specified.</w:t>
      </w:r>
    </w:p>
    <w:p/>
    <w:p w:rsidR="008A5F3F" w:rsidP="008A5F3F" w14:paraId="76F95269" w14:textId="77777777">
      <w:pPr>
        <w:pStyle w:val="Heading11"/>
        <w:rPr>
          <w:rFonts w:eastAsiaTheme="minorEastAsia" w:cstheme="minorHAnsi"/>
          <w:lang w:eastAsia="fi-FI"/>
        </w:rPr>
      </w:pPr>
      <w:bookmarkStart w:id="1531" w:name="RG_MARKER_7360"/>
      <w:r>
        <w:t>19. AUDITORS’ FEES AND SERVICES</w:t>
      </w:r>
      <w:bookmarkEnd w:id="1531"/>
    </w:p>
    <w:p w:rsidR="008A5F3F" w:rsidP="008A5F3F" w14:paraId="55DB8A3E" w14:textId="2C8AB9F2">
      <w:pPr>
        <w:pStyle w:val="Bodytext2"/>
      </w:pPr>
      <w:r w:rsidRPr="008A5F3F">
        <w:t>The following fees were paid to auditors and accounting firms for audits and other services.</w:t>
      </w:r>
    </w:p>
    <w:p w:rsidR="008A5F3F" w:rsidRPr="008A5F3F" w:rsidP="008A5F3F" w14:paraId="610C4A5C" w14:textId="77777777">
      <w:pPr>
        <w:pStyle w:val="Bodytext2"/>
      </w:pPr>
    </w:p>
    <w:p w:rsidR="008A5F3F" w:rsidP="008A5F3F" w14:paraId="62534F5A" w14:textId="7E73954F">
      <w:pPr>
        <w:pStyle w:val="Bodytext2"/>
      </w:pPr>
      <w:r w:rsidRPr="008A5F3F">
        <w:t>In 202</w:t>
      </w:r>
      <w:r>
        <w:t>1</w:t>
      </w:r>
      <w:r w:rsidRPr="008A5F3F">
        <w:t>, the AGM appointed the audit firm PricewaterhouseCoopers Oy as Wärtsilä Corporation's auditor.</w:t>
      </w:r>
    </w:p>
    <w:p w:rsidR="008A5F3F" w:rsidRPr="008A5F3F" w:rsidP="008A5F3F" w14:paraId="65CAAFA7" w14:textId="77777777">
      <w:pPr>
        <w:pStyle w:val="Bodytext2"/>
      </w:pPr>
    </w:p>
    <w:p w:rsidR="008A5F3F" w:rsidP="008A5F3F" w14:paraId="31181FF0" w14:textId="004DE71D">
      <w:pPr>
        <w:pStyle w:val="Heading12"/>
      </w:pPr>
      <w:r w:rsidRPr="008A5F3F">
        <w:t>Auditors' fees</w:t>
      </w:r>
    </w:p>
    <w:p w:rsidR="00D5737C" w:rsidRPr="00D5737C" w:rsidP="00D5737C" w14:paraId="47A7F955" w14:textId="77777777">
      <w:pPr>
        <w:rPr>
          <w:lang w:val="en-US" w:eastAsia="en-US"/>
        </w:rPr>
      </w:pPr>
    </w:p>
    <w:tbl>
      <w:tblPr>
        <w:tblStyle w:val="TableNormal"/>
        <w:tblCaption w:val="parent_19"/>
        <w:tblDescription w:val="19. Auditors' fees and services"/>
        <w:tblW w:w="7365" w:type="dxa"/>
        <w:tblLayout w:type="fixed"/>
        <w:tblLook w:val="0600"/>
      </w:tblPr>
      <w:tblGrid>
        <w:gridCol w:w="4185"/>
        <w:gridCol w:w="1590"/>
        <w:gridCol w:w="1590"/>
      </w:tblGrid>
      <w:tr>
        <w:tblPrEx>
          <w:tblW w:w="7365" w:type="dxa"/>
          <w:tblLayout w:type="fixed"/>
          <w:tblLook w:val="0600"/>
        </w:tblPrEx>
        <w:trPr>
          <w:trHeight w:val="240"/>
        </w:trPr>
        <w:tc>
          <w:tcPr>
            <w:tcW w:w="4185" w:type="dxa"/>
            <w:tcBorders>
              <w:top w:val="nil"/>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TEUR</w:t>
            </w:r>
          </w:p>
        </w:tc>
        <w:tc>
          <w:tcPr>
            <w:tcW w:w="1590" w:type="dxa"/>
            <w:tcBorders>
              <w:top w:val="nil"/>
              <w:left w:val="nil"/>
              <w:bottom w:val="single" w:sz="8" w:space="0" w:color="0F172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Audit </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340</w:t>
            </w:r>
          </w:p>
        </w:tc>
        <w:tc>
          <w:tcPr>
            <w:tcW w:w="159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Tax advisory</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Other services</w:t>
            </w:r>
          </w:p>
        </w:tc>
        <w:tc>
          <w:tcPr>
            <w:tcW w:w="1590" w:type="dxa"/>
            <w:tcBorders>
              <w:top w:val="single" w:sz="4" w:space="0" w:color="004A6B"/>
              <w:left w:val="nil"/>
              <w:bottom w:val="single" w:sz="8" w:space="0" w:color="0F172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201</w:t>
            </w:r>
          </w:p>
        </w:tc>
        <w:tc>
          <w:tcPr>
            <w:tcW w:w="159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Total</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544</w:t>
            </w:r>
          </w:p>
        </w:tc>
        <w:tc>
          <w:tcPr>
            <w:tcW w:w="159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355</w:t>
            </w:r>
          </w:p>
        </w:tc>
      </w:tr>
    </w:tbl>
    <w:p w:rsidR="00252DF1" w:rsidP="00252DF1" w14:paraId="533D068C" w14:textId="77777777">
      <w:pPr>
        <w:pStyle w:val="Heading10"/>
        <w:pageBreakBefore/>
        <w:rPr>
          <w:sz w:val="15"/>
          <w:szCs w:val="15"/>
        </w:rPr>
      </w:pPr>
      <w:bookmarkStart w:id="1532" w:name="RG_MARKER_7379"/>
      <w:r>
        <w:t>PROPOSAL OF THE BOARD</w:t>
      </w:r>
      <w:bookmarkEnd w:id="1532"/>
    </w:p>
    <w:p w:rsidR="00252DF1" w:rsidRPr="00252DF1" w:rsidP="00252DF1" w14:paraId="67310625" w14:textId="361D7E4E">
      <w:pPr>
        <w:pStyle w:val="Bodytext2"/>
      </w:pPr>
      <w:r w:rsidRPr="00252DF1">
        <w:t xml:space="preserve">The parent company’s distributable funds total EUR </w:t>
      </w:r>
      <w:r w:rsidR="00180C74">
        <w:t>1,025,711,618</w:t>
      </w:r>
      <w:r w:rsidRPr="00252DF1">
        <w:t>.</w:t>
      </w:r>
      <w:r w:rsidR="0003181F">
        <w:t>2</w:t>
      </w:r>
      <w:r w:rsidR="00180C74">
        <w:t>5</w:t>
      </w:r>
      <w:r w:rsidRPr="00252DF1">
        <w:t xml:space="preserve">, which includes EUR </w:t>
      </w:r>
      <w:r w:rsidR="00180C74">
        <w:t>188,242,</w:t>
      </w:r>
      <w:r w:rsidR="0003181F">
        <w:t>387</w:t>
      </w:r>
      <w:r w:rsidRPr="00252DF1">
        <w:t>.7</w:t>
      </w:r>
      <w:r w:rsidR="0003181F">
        <w:t>2</w:t>
      </w:r>
      <w:r w:rsidRPr="00252DF1">
        <w:t xml:space="preserve"> in net profit for the year. There are 59</w:t>
      </w:r>
      <w:r>
        <w:t>0</w:t>
      </w:r>
      <w:r w:rsidRPr="00252DF1">
        <w:t>,</w:t>
      </w:r>
      <w:r>
        <w:t>023</w:t>
      </w:r>
      <w:r w:rsidRPr="00252DF1">
        <w:t>,390 shares with dividend rights.</w:t>
      </w:r>
    </w:p>
    <w:p w:rsidR="00252DF1" w:rsidRPr="00252DF1" w:rsidP="00252DF1" w14:paraId="5EC598C0" w14:textId="77777777">
      <w:pPr>
        <w:pStyle w:val="Bodytext2"/>
      </w:pPr>
    </w:p>
    <w:p w:rsidR="00252DF1" w:rsidRPr="00252DF1" w:rsidP="00252DF1" w14:paraId="5D81D963" w14:textId="77777777">
      <w:pPr>
        <w:pStyle w:val="Bodytext2"/>
      </w:pPr>
      <w:r w:rsidRPr="00252DF1">
        <w:t xml:space="preserve">The Board of Directors proposes to the </w:t>
      </w:r>
      <w:r w:rsidRPr="00252DF1">
        <w:t>Annual General Meeting that the company’s distributable earnings be disposed of in the following way:</w:t>
      </w:r>
    </w:p>
    <w:p w:rsidR="00252DF1" w:rsidRPr="00252DF1" w:rsidP="00252DF1" w14:paraId="597D8A6C" w14:textId="77777777">
      <w:pPr>
        <w:pStyle w:val="Bodytext2"/>
      </w:pPr>
    </w:p>
    <w:tbl>
      <w:tblPr>
        <w:tblStyle w:val="TableNormal"/>
        <w:tblCaption w:val="Proposal_board"/>
        <w:tblW w:w="7365" w:type="dxa"/>
        <w:tblLayout w:type="fixed"/>
        <w:tblLook w:val="0600"/>
      </w:tblPr>
      <w:tblGrid>
        <w:gridCol w:w="5775"/>
        <w:gridCol w:w="1590"/>
      </w:tblGrid>
      <w:tr>
        <w:tblPrEx>
          <w:tblW w:w="7365" w:type="dxa"/>
          <w:tblLayout w:type="fixed"/>
          <w:tblLook w:val="0600"/>
        </w:tblPrEx>
        <w:trPr>
          <w:trHeight w:hRule="exact" w:val="315"/>
        </w:trPr>
        <w:tc>
          <w:tcPr>
            <w:tcW w:w="577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EUR</w:t>
            </w:r>
          </w:p>
        </w:tc>
        <w:tc>
          <w:tcPr>
            <w:tcW w:w="1590"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300"/>
        </w:trPr>
        <w:tc>
          <w:tcPr>
            <w:tcW w:w="57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 dividend of EUR 0.24 per share be paid, making a total of</w:t>
            </w:r>
          </w:p>
        </w:tc>
        <w:tc>
          <w:tcPr>
            <w:tcW w:w="159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141 605 613.60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315"/>
        </w:trPr>
        <w:tc>
          <w:tcPr>
            <w:tcW w:w="577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That the following sum be retained in shareholders’ equity</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884 106 004.65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300"/>
        </w:trPr>
        <w:tc>
          <w:tcPr>
            <w:tcW w:w="5775" w:type="dxa"/>
            <w:tcBorders>
              <w:top w:val="single" w:sz="8" w:space="0" w:color="0F172B"/>
              <w:left w:val="nil"/>
              <w:bottom w:val="nil"/>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Totalling</w:t>
            </w:r>
          </w:p>
        </w:tc>
        <w:tc>
          <w:tcPr>
            <w:tcW w:w="1590" w:type="dxa"/>
            <w:tcBorders>
              <w:top w:val="single" w:sz="8" w:space="0" w:color="0F172B"/>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1,025,711,618.25</w:t>
            </w:r>
          </w:p>
        </w:tc>
      </w:tr>
    </w:tbl>
    <w:p w:rsidR="00E541C3" w:rsidRPr="00252DF1" w:rsidP="00252DF1" w14:paraId="7725A826" w14:textId="77777777">
      <w:pPr>
        <w:pStyle w:val="Bodytext2"/>
      </w:pPr>
    </w:p>
    <w:p w:rsidR="00B878ED" w:rsidP="00B878ED" w14:paraId="174443E4" w14:textId="53B8B2F6">
      <w:pPr>
        <w:pStyle w:val="Bodytext2"/>
        <w:rPr>
          <w:rFonts w:eastAsia="Times New Roman"/>
        </w:rPr>
      </w:pPr>
      <w:r>
        <w:t>The dividend shall be paid in two instalments. The first instalment of EUR 0</w:t>
      </w:r>
      <w:r>
        <w:t>.12</w:t>
      </w:r>
      <w:r>
        <w:t xml:space="preserve"> per share shall be paid to the shareholders who are </w:t>
      </w:r>
      <w:r>
        <w:t>registered in the list of shareholders maintained by Euroclear Finland Ltd on the dividend record date of 7 March 202</w:t>
      </w:r>
      <w:r w:rsidR="00180C74">
        <w:t>2</w:t>
      </w:r>
      <w:r>
        <w:t>. The payment day proposed by the Board for this instalment is 14 March 2022.</w:t>
      </w:r>
    </w:p>
    <w:p w:rsidR="00252DF1" w:rsidRPr="00252DF1" w:rsidP="00252DF1" w14:paraId="721BB58D" w14:textId="77777777">
      <w:pPr>
        <w:pStyle w:val="Bodytext2"/>
      </w:pPr>
    </w:p>
    <w:p w:rsidR="00252DF1" w:rsidP="00252DF1" w14:paraId="1B16AC06" w14:textId="43C3C0AE">
      <w:pPr>
        <w:pStyle w:val="Bodytext2"/>
      </w:pPr>
      <w:r>
        <w:t>The second instalment of EUR 0</w:t>
      </w:r>
      <w:r>
        <w:t>.12</w:t>
      </w:r>
      <w:r>
        <w:t xml:space="preserve"> per share shall be paid i</w:t>
      </w:r>
      <w:r>
        <w:t>n October</w:t>
      </w:r>
      <w:r>
        <w:t xml:space="preserve"> 2022. The second instalment of the dividend shall be paid to shareholders who are registered in the list of shareholders maintained by Euroclear Finland Ltd on the dividend record day, which, together with the payment day, shall be decided by t</w:t>
      </w:r>
      <w:r>
        <w:t>he Board of Directors in its meeting scheduled for 27 September 2022. The dividend record day for the second instalment as per the current rules of the Finnish book-entry system would be 29 September 2022 and the dividend payment day 6 October 2022.</w:t>
      </w:r>
    </w:p>
    <w:p w:rsidR="00B878ED" w:rsidRPr="00252DF1" w:rsidP="00252DF1" w14:paraId="37D4C02C" w14:textId="77777777">
      <w:pPr>
        <w:pStyle w:val="Bodytext2"/>
      </w:pPr>
    </w:p>
    <w:p w:rsidR="00252DF1" w:rsidRPr="00252DF1" w:rsidP="00252DF1" w14:paraId="4FD22D68" w14:textId="77777777">
      <w:pPr>
        <w:pStyle w:val="Bodytext2"/>
      </w:pPr>
      <w:r w:rsidRPr="00252DF1">
        <w:t>No si</w:t>
      </w:r>
      <w:r w:rsidRPr="00252DF1">
        <w:t>gnificant changes have taken place in the company’s financial position since the end of the financial year. The company’s liquidity is good and in the opinion of the Board of Directors the proposed dividend will not put the company’s solvency at risk.</w:t>
      </w:r>
    </w:p>
    <w:p w:rsidR="00287B33" w:rsidRPr="00882FD0" w:rsidP="00252DF1" w14:paraId="78C602FF" w14:textId="77777777">
      <w:pPr>
        <w:pStyle w:val="Bodytext2"/>
      </w:pPr>
      <w:r w:rsidRPr="00882FD0">
        <w:br w:type="column"/>
      </w:r>
    </w:p>
    <w:p w:rsidR="00287B33" w:rsidRPr="00882FD0" w:rsidP="00252DF1" w14:paraId="183034AF" w14:textId="77777777">
      <w:pPr>
        <w:pStyle w:val="Bodytext2"/>
      </w:pPr>
    </w:p>
    <w:p w:rsidR="00287B33" w:rsidRPr="00882FD0" w:rsidP="00252DF1" w14:paraId="1EE2D9CE" w14:textId="77777777">
      <w:pPr>
        <w:pStyle w:val="Bodytext2"/>
        <w:rPr>
          <w:sz w:val="20"/>
          <w:szCs w:val="20"/>
        </w:rPr>
      </w:pPr>
    </w:p>
    <w:p w:rsidR="00252DF1" w:rsidP="00252DF1" w14:paraId="194DB51F" w14:textId="42EB1C0C">
      <w:pPr>
        <w:pStyle w:val="Bodytext2"/>
        <w:rPr>
          <w:lang w:val="sv-FI"/>
        </w:rPr>
      </w:pPr>
      <w:r w:rsidRPr="0003181F">
        <w:rPr>
          <w:lang w:val="sv-FI"/>
        </w:rPr>
        <w:t>Helsinki, Finland,</w:t>
      </w:r>
      <w:r w:rsidR="0003181F">
        <w:rPr>
          <w:lang w:val="sv-FI"/>
        </w:rPr>
        <w:t xml:space="preserve"> </w:t>
      </w:r>
      <w:r w:rsidR="00A9784A">
        <w:rPr>
          <w:lang w:val="sv-FI"/>
        </w:rPr>
        <w:t>2</w:t>
      </w:r>
      <w:r>
        <w:rPr>
          <w:lang w:val="sv-FI"/>
        </w:rPr>
        <w:t>7</w:t>
      </w:r>
      <w:r w:rsidRPr="0003181F">
        <w:rPr>
          <w:lang w:val="sv-FI"/>
        </w:rPr>
        <w:t xml:space="preserve"> </w:t>
      </w:r>
      <w:r w:rsidR="0003181F">
        <w:rPr>
          <w:lang w:val="sv-FI"/>
        </w:rPr>
        <w:t>January</w:t>
      </w:r>
      <w:r w:rsidRPr="0003181F">
        <w:rPr>
          <w:lang w:val="sv-FI"/>
        </w:rPr>
        <w:t xml:space="preserve"> 202</w:t>
      </w:r>
      <w:r>
        <w:rPr>
          <w:lang w:val="sv-FI"/>
        </w:rPr>
        <w:t>2</w:t>
      </w:r>
    </w:p>
    <w:p w:rsidR="00252DF1" w:rsidRPr="00287B33" w:rsidP="00252DF1" w14:paraId="7C48BE13" w14:textId="7F702D2D">
      <w:pPr>
        <w:pStyle w:val="Bodytext2"/>
        <w:rPr>
          <w:lang w:val="sv-FI"/>
        </w:rPr>
      </w:pPr>
    </w:p>
    <w:tbl>
      <w:tblPr>
        <w:tblStyle w:val="TableGrid"/>
        <w:tblpPr w:leftFromText="144" w:rightFromText="187" w:vertAnchor="text" w:horzAnchor="page" w:tblpX="8641" w:tblpY="17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785"/>
        <w:gridCol w:w="4575"/>
      </w:tblGrid>
      <w:tr w14:paraId="1759F4A2" w14:textId="77777777" w:rsidTr="00275232">
        <w:tblPrEx>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504"/>
        </w:trPr>
        <w:tc>
          <w:tcPr>
            <w:tcW w:w="2785" w:type="dxa"/>
            <w:hideMark/>
          </w:tcPr>
          <w:p w:rsidR="00275232" w14:paraId="60F82A45" w14:textId="77777777">
            <w:pPr>
              <w:pStyle w:val="Bodytext2"/>
              <w:rPr>
                <w:lang w:val="sv-FI"/>
              </w:rPr>
            </w:pPr>
            <w:r>
              <w:rPr>
                <w:lang w:val="sv-FI"/>
              </w:rPr>
              <w:t>Tom Johnstone</w:t>
            </w:r>
          </w:p>
        </w:tc>
        <w:tc>
          <w:tcPr>
            <w:tcW w:w="4575" w:type="dxa"/>
            <w:hideMark/>
          </w:tcPr>
          <w:p w:rsidR="00275232" w14:paraId="2B7A8C02" w14:textId="3E6BC565">
            <w:pPr>
              <w:pStyle w:val="Bodytext2"/>
              <w:rPr>
                <w:lang w:val="sv-FI"/>
              </w:rPr>
            </w:pPr>
            <w:r>
              <w:rPr>
                <w:lang w:val="sv-FI"/>
              </w:rPr>
              <w:t>Risto Murto</w:t>
            </w:r>
          </w:p>
        </w:tc>
      </w:tr>
      <w:tr w14:paraId="21014ACB" w14:textId="77777777" w:rsidTr="00275232">
        <w:tblPrEx>
          <w:tblW w:w="0" w:type="auto"/>
          <w:tblLook w:val="04A0"/>
        </w:tblPrEx>
        <w:trPr>
          <w:trHeight w:val="504"/>
        </w:trPr>
        <w:tc>
          <w:tcPr>
            <w:tcW w:w="2785" w:type="dxa"/>
            <w:hideMark/>
          </w:tcPr>
          <w:p w:rsidR="00275232" w14:paraId="710A9E66" w14:textId="77777777">
            <w:pPr>
              <w:pStyle w:val="Bodytext2"/>
              <w:rPr>
                <w:lang w:val="sv-FI"/>
              </w:rPr>
            </w:pPr>
            <w:r>
              <w:rPr>
                <w:lang w:val="sv-FI"/>
              </w:rPr>
              <w:t>Maarit Aarni-Sirviö</w:t>
            </w:r>
            <w:r>
              <w:rPr>
                <w:lang w:val="sv-FI"/>
              </w:rPr>
              <w:tab/>
            </w:r>
          </w:p>
        </w:tc>
        <w:tc>
          <w:tcPr>
            <w:tcW w:w="4575" w:type="dxa"/>
            <w:hideMark/>
          </w:tcPr>
          <w:p w:rsidR="00275232" w14:paraId="3F6BAE0F" w14:textId="77777777">
            <w:pPr>
              <w:pStyle w:val="Bodytext2"/>
              <w:rPr>
                <w:lang w:val="sv-FI"/>
              </w:rPr>
            </w:pPr>
            <w:r>
              <w:rPr>
                <w:lang w:val="sv-FI"/>
              </w:rPr>
              <w:t>Karen Bomba</w:t>
            </w:r>
          </w:p>
        </w:tc>
      </w:tr>
      <w:tr w14:paraId="0D40CBE2" w14:textId="77777777" w:rsidTr="00275232">
        <w:tblPrEx>
          <w:tblW w:w="0" w:type="auto"/>
          <w:tblLook w:val="04A0"/>
        </w:tblPrEx>
        <w:trPr>
          <w:trHeight w:val="504"/>
        </w:trPr>
        <w:tc>
          <w:tcPr>
            <w:tcW w:w="2785" w:type="dxa"/>
            <w:hideMark/>
          </w:tcPr>
          <w:p w:rsidR="00275232" w14:paraId="499F2350" w14:textId="77777777">
            <w:pPr>
              <w:pStyle w:val="Bodytext2"/>
              <w:rPr>
                <w:lang w:val="fi-FI"/>
              </w:rPr>
            </w:pPr>
            <w:r>
              <w:rPr>
                <w:lang w:val="sv-FI"/>
              </w:rPr>
              <w:t>Karin Falk</w:t>
            </w:r>
            <w:r>
              <w:rPr>
                <w:lang w:val="sv-FI"/>
              </w:rPr>
              <w:tab/>
            </w:r>
          </w:p>
        </w:tc>
        <w:tc>
          <w:tcPr>
            <w:tcW w:w="4575" w:type="dxa"/>
            <w:hideMark/>
          </w:tcPr>
          <w:p w:rsidR="00275232" w14:paraId="791A9E88" w14:textId="77777777">
            <w:pPr>
              <w:pStyle w:val="Bodytext2"/>
              <w:rPr>
                <w:lang w:val="fi-FI"/>
              </w:rPr>
            </w:pPr>
            <w:r>
              <w:rPr>
                <w:lang w:val="sv-FI"/>
              </w:rPr>
              <w:t>Johan Forssell</w:t>
            </w:r>
          </w:p>
        </w:tc>
      </w:tr>
      <w:tr w14:paraId="45F4DD34" w14:textId="77777777" w:rsidTr="00275232">
        <w:tblPrEx>
          <w:tblW w:w="0" w:type="auto"/>
          <w:tblLook w:val="04A0"/>
        </w:tblPrEx>
        <w:trPr>
          <w:trHeight w:val="504"/>
        </w:trPr>
        <w:tc>
          <w:tcPr>
            <w:tcW w:w="2785" w:type="dxa"/>
            <w:hideMark/>
          </w:tcPr>
          <w:p w:rsidR="00275232" w14:paraId="09DA55FA" w14:textId="6E86691C">
            <w:pPr>
              <w:pStyle w:val="Bodytext2"/>
              <w:rPr>
                <w:lang w:val="fi-FI"/>
              </w:rPr>
            </w:pPr>
            <w:r>
              <w:rPr>
                <w:lang w:val="sv-FI"/>
              </w:rPr>
              <w:t>Mats Rahmström</w:t>
            </w:r>
          </w:p>
        </w:tc>
        <w:tc>
          <w:tcPr>
            <w:tcW w:w="4575" w:type="dxa"/>
            <w:hideMark/>
          </w:tcPr>
          <w:p w:rsidR="00275232" w14:paraId="18210621" w14:textId="0F8D27F5">
            <w:pPr>
              <w:pStyle w:val="Bodytext2"/>
              <w:rPr>
                <w:lang w:val="fi-FI"/>
              </w:rPr>
            </w:pPr>
            <w:r>
              <w:rPr>
                <w:lang w:val="sv-FI"/>
              </w:rPr>
              <w:t>Tiina Tuomela</w:t>
            </w:r>
          </w:p>
        </w:tc>
      </w:tr>
    </w:tbl>
    <w:p w:rsidR="00231CA1" w:rsidRPr="00231CA1" w:rsidP="00231CA1" w14:paraId="4BB26E65" w14:textId="452EF90D">
      <w:pPr>
        <w:pStyle w:val="01body1"/>
        <w:tabs>
          <w:tab w:val="clear" w:pos="113"/>
          <w:tab w:val="left" w:pos="2268"/>
          <w:tab w:val="left" w:pos="2381"/>
        </w:tabs>
        <w:rPr>
          <w:lang w:val="en-GB"/>
        </w:rPr>
        <w:sectPr w:rsidSect="009855D7">
          <w:headerReference w:type="even" r:id="rId77"/>
          <w:headerReference w:type="default" r:id="rId78"/>
          <w:footerReference w:type="even" r:id="rId79"/>
          <w:footerReference w:type="default" r:id="rId80"/>
          <w:headerReference w:type="first" r:id="rId81"/>
          <w:footerReference w:type="first" r:id="rId82"/>
          <w:type w:val="continuous"/>
          <w:pgSz w:w="16838" w:h="11906" w:orient="landscape"/>
          <w:pgMar w:top="1814" w:right="737" w:bottom="1247" w:left="737" w:header="720" w:footer="720" w:gutter="0"/>
          <w:pgBorders w:zOrder="front" w:display="allPages" w:offsetFrom="text">
            <w:top w:val="nil"/>
            <w:left w:val="nil"/>
            <w:bottom w:val="nil"/>
            <w:right w:val="nil"/>
          </w:pgBorders>
          <w:cols w:num="2" w:sep="0" w:space="624" w:equalWidth="1"/>
          <w:vAlign w:val="top"/>
          <w:titlePg w:val="0"/>
          <w:rtlGutter w:val="0"/>
          <w:docGrid w:linePitch="360"/>
        </w:sectPr>
      </w:pPr>
      <w:r>
        <w:rPr>
          <w:rFonts w:ascii="Arial" w:hAnsi="Arial" w:eastAsiaTheme="minorHAnsi" w:cs="Arial"/>
          <w:color w:val="111111"/>
          <w:sz w:val="15"/>
          <w:lang w:eastAsia="en-US"/>
        </w:rPr>
        <w:t xml:space="preserve">                    Håkan Angevall</w:t>
      </w:r>
      <w:r w:rsidRPr="00231CA1">
        <w:rPr>
          <w:rFonts w:ascii="Arial" w:hAnsi="Arial" w:eastAsiaTheme="minorHAnsi" w:cs="Arial"/>
          <w:color w:val="111111"/>
          <w:sz w:val="15"/>
          <w:lang w:eastAsia="en-US"/>
        </w:rPr>
        <w:t>, President and CEO</w:t>
      </w:r>
    </w:p>
    <w:p w:rsidR="00A954A9" w:rsidRPr="00CD28B6" w:rsidP="00A954A9" w14:paraId="00A44645" w14:textId="77777777">
      <w:pPr>
        <w:pageBreakBefore/>
        <w:spacing w:after="240" w:line="240" w:lineRule="atLeast"/>
        <w:rPr>
          <w:rStyle w:val="WAuditH15Char"/>
        </w:rPr>
      </w:pPr>
      <w:bookmarkStart w:id="1533" w:name="RG_MARKER_8799"/>
      <w:r w:rsidRPr="00CD28B6">
        <w:rPr>
          <w:rStyle w:val="WAuditH1Char"/>
        </w:rPr>
        <w:t>Auditor’s Report</w:t>
      </w:r>
      <w:bookmarkEnd w:id="1533"/>
      <w:r w:rsidRPr="00A954A9">
        <w:rPr>
          <w:rFonts w:ascii="Georgia" w:eastAsia="Arial" w:hAnsi="Georgia" w:cs="Times New Roman"/>
          <w:color w:val="DC6900"/>
          <w:sz w:val="36"/>
          <w:szCs w:val="28"/>
          <w:lang w:val="en-US"/>
        </w:rPr>
        <w:t xml:space="preserve"> </w:t>
      </w:r>
      <w:r w:rsidRPr="00CD28B6">
        <w:rPr>
          <w:rStyle w:val="WAuditH15Char"/>
        </w:rPr>
        <w:t>(Translation of the Finnish Original)</w:t>
      </w:r>
    </w:p>
    <w:p w:rsidR="00A954A9" w:rsidRPr="00A954A9" w:rsidP="00A4473A" w14:paraId="39286D9B" w14:textId="77777777">
      <w:pPr>
        <w:pStyle w:val="WAuditBodyText"/>
      </w:pPr>
      <w:r w:rsidRPr="00A954A9">
        <w:t>To the Annual General Meeting of Wärtsilä Corporation</w:t>
      </w:r>
    </w:p>
    <w:p w:rsidR="00A954A9" w:rsidRPr="00A954A9" w:rsidP="00CD28B6" w14:paraId="5F019F6C" w14:textId="77777777">
      <w:pPr>
        <w:pStyle w:val="WAuditH2"/>
      </w:pPr>
      <w:r w:rsidRPr="00A954A9">
        <w:t xml:space="preserve">Report on the Audit of the Financial Statements </w:t>
      </w:r>
    </w:p>
    <w:p w:rsidR="00A954A9" w:rsidRPr="00A954A9" w:rsidP="00CD28B6" w14:paraId="5C4DD5AA" w14:textId="77777777">
      <w:pPr>
        <w:pStyle w:val="WAuditH3"/>
      </w:pPr>
      <w:r w:rsidRPr="00A954A9">
        <w:t>Opinion</w:t>
      </w:r>
    </w:p>
    <w:p w:rsidR="00A954A9" w:rsidRPr="00A954A9" w:rsidP="00A4473A" w14:paraId="310AB606" w14:textId="77777777">
      <w:pPr>
        <w:pStyle w:val="WAuditBodyText"/>
      </w:pPr>
      <w:r w:rsidRPr="00A954A9">
        <w:t xml:space="preserve">In our opinion </w:t>
      </w:r>
    </w:p>
    <w:p w:rsidR="00A954A9" w:rsidRPr="00A954A9" w:rsidP="00FB01FE" w14:paraId="02F5C0CD" w14:textId="77777777">
      <w:pPr>
        <w:pStyle w:val="WAuditH6"/>
      </w:pPr>
      <w:r w:rsidRPr="00A954A9">
        <w:t xml:space="preserve">the consolidated financial statements give a true and fair view of the </w:t>
      </w:r>
      <w:r w:rsidRPr="00A954A9">
        <w:t>group’s financial position and financial performance and cash flows in accordance with International Financial Reporting Standards (IFRS) as adopted by the EU</w:t>
      </w:r>
    </w:p>
    <w:p w:rsidR="00A954A9" w:rsidRPr="00A954A9" w:rsidP="00FB01FE" w14:paraId="28F229ED" w14:textId="77777777">
      <w:pPr>
        <w:pStyle w:val="WAuditH6"/>
      </w:pPr>
      <w:r w:rsidRPr="00A954A9">
        <w:t xml:space="preserve">the financial statements give a true and fair view of the parent company’s financial performance </w:t>
      </w:r>
      <w:r w:rsidRPr="00A954A9">
        <w:t>and financial position in accordance with the laws and regulations governing the preparation of the financial statements in Finland and comply with statutory requirements.</w:t>
      </w:r>
    </w:p>
    <w:p w:rsidR="00A954A9" w:rsidRPr="00A954A9" w:rsidP="00D07539" w14:paraId="6D3F3E71" w14:textId="77777777">
      <w:pPr>
        <w:pStyle w:val="WAuditBodyText"/>
      </w:pPr>
      <w:r w:rsidRPr="00A954A9">
        <w:t>Our opinion is consistent with the additional report to the Audit Committee.</w:t>
      </w:r>
    </w:p>
    <w:p w:rsidR="00A954A9" w:rsidRPr="00A954A9" w:rsidP="00CD28B6" w14:paraId="2E4B61A0" w14:textId="77777777">
      <w:pPr>
        <w:pStyle w:val="WAuditH4"/>
      </w:pPr>
      <w:r w:rsidRPr="00A954A9">
        <w:t>What we</w:t>
      </w:r>
      <w:r w:rsidRPr="00A954A9">
        <w:t xml:space="preserve"> have audited</w:t>
      </w:r>
    </w:p>
    <w:p w:rsidR="00A954A9" w:rsidRPr="00A954A9" w:rsidP="00A4473A" w14:paraId="1CECF23F" w14:textId="77777777">
      <w:pPr>
        <w:pStyle w:val="WAuditBodyText"/>
      </w:pPr>
      <w:r w:rsidRPr="00A954A9">
        <w:t>We have audited the financial statements of Wärtsilä Corporation (business identity code 0128631-1) for the year ended 31 December 2021. The financial statements comprise:</w:t>
      </w:r>
    </w:p>
    <w:p w:rsidR="00A954A9" w:rsidRPr="00A954A9" w:rsidP="00FB01FE" w14:paraId="49161A6D" w14:textId="644ECBE4">
      <w:pPr>
        <w:pStyle w:val="WAuditH6"/>
      </w:pPr>
      <w:r w:rsidRPr="00A954A9">
        <w:t>the consolidated balance sheet, income statement, statement of compreh</w:t>
      </w:r>
      <w:r w:rsidRPr="00A954A9">
        <w:t>ensive income, statement of changes in equity, statement of cash flows and notes, including a summary of significant accounting policies</w:t>
      </w:r>
      <w:r w:rsidRPr="00A954A9">
        <w:rPr>
          <w:noProof/>
        </w:rPr>
        <w:drawing>
          <wp:anchor distT="0" distB="0" distL="114300" distR="114300" simplePos="0" relativeHeight="251675648" behindDoc="0" locked="0" layoutInCell="1" allowOverlap="1">
            <wp:simplePos x="0" y="0"/>
            <wp:positionH relativeFrom="page">
              <wp:posOffset>450215</wp:posOffset>
            </wp:positionH>
            <wp:positionV relativeFrom="page">
              <wp:posOffset>7002780</wp:posOffset>
            </wp:positionV>
            <wp:extent cx="5090400" cy="453600"/>
            <wp:effectExtent l="0" t="0" r="0" b="3810"/>
            <wp:wrapNone/>
            <wp:docPr id="163571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005619" name=""/>
                    <pic:cNvPicPr/>
                  </pic:nvPicPr>
                  <pic:blipFill>
                    <a:blip xmlns:r="http://schemas.openxmlformats.org/officeDocument/2006/relationships" r:embed="rId83">
                      <a:extLst>
                        <a:ext xmlns:a="http://schemas.openxmlformats.org/drawingml/2006/main" uri="{28A0092B-C50C-407E-A947-70E740481C1C}">
                          <a14:useLocalDpi xmlns:a14="http://schemas.microsoft.com/office/drawing/2010/main" val="0"/>
                        </a:ext>
                      </a:extLst>
                    </a:blip>
                    <a:stretch>
                      <a:fillRect/>
                    </a:stretch>
                  </pic:blipFill>
                  <pic:spPr>
                    <a:xfrm>
                      <a:off x="0" y="0"/>
                      <a:ext cx="5090400" cy="453600"/>
                    </a:xfrm>
                    <a:prstGeom prst="rect">
                      <a:avLst/>
                    </a:prstGeom>
                  </pic:spPr>
                </pic:pic>
              </a:graphicData>
            </a:graphic>
            <wp14:sizeRelH relativeFrom="margin">
              <wp14:pctWidth>0</wp14:pctWidth>
            </wp14:sizeRelH>
            <wp14:sizeRelV relativeFrom="margin">
              <wp14:pctHeight>0</wp14:pctHeight>
            </wp14:sizeRelV>
          </wp:anchor>
        </w:drawing>
      </w:r>
    </w:p>
    <w:p w:rsidR="00A954A9" w:rsidRPr="00A954A9" w:rsidP="00FB01FE" w14:paraId="7000A2A2" w14:textId="77777777">
      <w:pPr>
        <w:pStyle w:val="WAuditH6"/>
      </w:pPr>
      <w:r w:rsidRPr="00A954A9">
        <w:t>the parent company’s balance sheet, income statement, statement of cash flows and notes.</w:t>
      </w:r>
    </w:p>
    <w:p w:rsidR="00A954A9" w:rsidRPr="00A954A9" w:rsidP="00CD28B6" w14:paraId="636C154A" w14:textId="77777777">
      <w:pPr>
        <w:pStyle w:val="WAuditH3"/>
      </w:pPr>
      <w:r w:rsidRPr="00A954A9">
        <w:t xml:space="preserve">Basis for Opinion </w:t>
      </w:r>
    </w:p>
    <w:p w:rsidR="00A954A9" w:rsidRPr="00A954A9" w:rsidP="00A4473A" w14:paraId="44799C36" w14:textId="77777777">
      <w:pPr>
        <w:pStyle w:val="WAuditBodyText"/>
      </w:pPr>
      <w:r w:rsidRPr="00A954A9">
        <w:t>We conducte</w:t>
      </w:r>
      <w:r w:rsidRPr="00A954A9">
        <w:t>d our audit in accordance with good auditing practice in Finland. Our responsibilities under good auditing practice are further described in the Auditor’s Responsibilities for the Audit of the Financial Statements section of our report.</w:t>
      </w:r>
    </w:p>
    <w:p w:rsidR="00A954A9" w:rsidRPr="00A954A9" w:rsidP="00A4473A" w14:paraId="086AA5C7" w14:textId="77777777">
      <w:pPr>
        <w:pStyle w:val="WAuditBodyText"/>
      </w:pPr>
      <w:r w:rsidRPr="00A954A9">
        <w:t>We believe that the</w:t>
      </w:r>
      <w:r w:rsidRPr="00A954A9">
        <w:t xml:space="preserve"> audit evidence we have obtained is sufficient and appropriate to provide a basis for our opinion. </w:t>
      </w:r>
    </w:p>
    <w:p w:rsidR="00A954A9" w:rsidRPr="00A954A9" w:rsidP="00CD28B6" w14:paraId="7E6674D1" w14:textId="77777777">
      <w:pPr>
        <w:pStyle w:val="WAuditH4"/>
      </w:pPr>
      <w:r w:rsidRPr="00A954A9">
        <w:t>Independence</w:t>
      </w:r>
    </w:p>
    <w:p w:rsidR="00A954A9" w:rsidRPr="00A954A9" w:rsidP="00A4473A" w14:paraId="3B9C789A" w14:textId="77777777">
      <w:pPr>
        <w:pStyle w:val="WAuditBodyText"/>
      </w:pPr>
      <w:r w:rsidRPr="00A954A9">
        <w:t xml:space="preserve">We are independent of the parent company and of the group companies in accordance with the ethical requirements that are applicable in Finland </w:t>
      </w:r>
      <w:r w:rsidRPr="00A954A9">
        <w:t>and are relevant to our audit, and we have fulfilled our other ethical responsibilities in accordance with these requirements.</w:t>
      </w:r>
    </w:p>
    <w:p w:rsidR="0030252D" w:rsidP="00A4473A" w14:paraId="7CCB7D64" w14:textId="77777777">
      <w:pPr>
        <w:pStyle w:val="WAuditBodyText"/>
      </w:pPr>
      <w:r w:rsidRPr="00A954A9">
        <w:t>To the best of our knowledge and belief, the non-audit services that we have provided to the parent company and to the group comp</w:t>
      </w:r>
      <w:r w:rsidRPr="00A954A9">
        <w:t>anies are in accordance with the applicable law and regulations in Finland and we have not provided non-audit services that are prohibited under Article 5(1) of Regulation (EU) No 537/2014. The non-audit services that we have provided are disclosed in note</w:t>
      </w:r>
      <w:r w:rsidRPr="00A954A9">
        <w:t xml:space="preserve"> 7.3 to the Financial Statements.</w:t>
      </w:r>
      <w:r>
        <w:br w:type="page"/>
      </w:r>
    </w:p>
    <w:p w:rsidR="00A954A9" w:rsidRPr="00A954A9" w:rsidP="0030252D" w14:paraId="2596502E" w14:textId="67043584">
      <w:pPr>
        <w:pStyle w:val="WAuditH3"/>
      </w:pPr>
      <w:r w:rsidRPr="00A954A9">
        <w:t>Our Audit Approach</w:t>
      </w:r>
    </w:p>
    <w:p w:rsidR="00A954A9" w:rsidRPr="00A954A9" w:rsidP="00CD28B6" w14:paraId="128EA917" w14:textId="77777777">
      <w:pPr>
        <w:pStyle w:val="WAuditH4"/>
      </w:pPr>
      <w:r w:rsidRPr="00A954A9">
        <w:t>Overview</w:t>
      </w:r>
    </w:p>
    <w:tbl>
      <w:tblPr>
        <w:tblStyle w:val="PwCTableFigures"/>
        <w:tblW w:w="0" w:type="auto"/>
        <w:tblLook w:val="0680"/>
      </w:tblPr>
      <w:tblGrid>
        <w:gridCol w:w="2003"/>
        <w:gridCol w:w="5331"/>
      </w:tblGrid>
      <w:tr w14:paraId="2D7FC6F9" w14:textId="77777777" w:rsidTr="000A37FF">
        <w:tblPrEx>
          <w:tblW w:w="0" w:type="auto"/>
          <w:tblLook w:val="0680"/>
        </w:tblPrEx>
        <w:trPr>
          <w:trHeight w:val="892"/>
        </w:trPr>
        <w:tc>
          <w:tcPr>
            <w:tcW w:w="1844" w:type="dxa"/>
            <w:vMerge w:val="restart"/>
            <w:tcBorders>
              <w:top w:val="dotted" w:sz="4" w:space="0" w:color="DC6900"/>
              <w:bottom w:val="dotted" w:sz="4" w:space="0" w:color="DC6900"/>
            </w:tcBorders>
          </w:tcPr>
          <w:p w:rsidR="00A954A9" w:rsidRPr="00A954A9" w:rsidP="00A954A9" w14:paraId="05F98990" w14:textId="77777777">
            <w:pPr>
              <w:suppressAutoHyphens/>
              <w:spacing w:before="60" w:after="60" w:line="264" w:lineRule="auto"/>
              <w:rPr>
                <w:rFonts w:ascii="Arial" w:eastAsia="Arial" w:hAnsi="Arial" w:cs="Times New Roman"/>
              </w:rPr>
            </w:pPr>
            <w:r w:rsidRPr="00A954A9">
              <w:rPr>
                <w:rFonts w:ascii="Arial" w:eastAsia="Arial" w:hAnsi="Arial" w:cs="Times New Roman"/>
                <w:noProof/>
                <w:lang w:val="en-US" w:eastAsia="zh-CN"/>
              </w:rPr>
              <w:drawing>
                <wp:inline distT="0" distB="0" distL="0" distR="0">
                  <wp:extent cx="1135023" cy="2000250"/>
                  <wp:effectExtent l="0" t="0" r="0" b="0"/>
                  <wp:docPr id="880615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995015" name=""/>
                          <pic:cNvPicPr/>
                        </pic:nvPicPr>
                        <pic:blipFill>
                          <a:blip xmlns:r="http://schemas.openxmlformats.org/officeDocument/2006/relationships" r:embed="rId84"/>
                          <a:srcRect l="1260" r="4932"/>
                          <a:stretch>
                            <a:fillRect/>
                          </a:stretch>
                        </pic:blipFill>
                        <pic:spPr bwMode="auto">
                          <a:xfrm>
                            <a:off x="0" y="0"/>
                            <a:ext cx="1135789" cy="2001600"/>
                          </a:xfrm>
                          <a:prstGeom prst="rect">
                            <a:avLst/>
                          </a:prstGeom>
                          <a:ln>
                            <a:noFill/>
                          </a:ln>
                          <a:extLst>
                            <a:ext xmlns:a="http://schemas.openxmlformats.org/drawingml/2006/main" uri="{53640926-AAD7-44D8-BBD7-CCE9431645EC}">
                              <a14:shadowObscured xmlns:a14="http://schemas.microsoft.com/office/drawing/2010/main"/>
                            </a:ext>
                          </a:extLst>
                        </pic:spPr>
                      </pic:pic>
                    </a:graphicData>
                  </a:graphic>
                </wp:inline>
              </w:drawing>
            </w:r>
          </w:p>
        </w:tc>
        <w:tc>
          <w:tcPr>
            <w:tcW w:w="8023" w:type="dxa"/>
            <w:tcBorders>
              <w:top w:val="dotted" w:sz="4" w:space="0" w:color="DC6900"/>
              <w:bottom w:val="dotted" w:sz="4" w:space="0" w:color="DC6900"/>
            </w:tcBorders>
          </w:tcPr>
          <w:p w:rsidR="00A954A9" w:rsidRPr="00A954A9" w:rsidP="0052585C" w14:paraId="511F0140" w14:textId="77777777">
            <w:pPr>
              <w:pStyle w:val="WAuditH9"/>
            </w:pPr>
            <w:r w:rsidRPr="00A954A9">
              <w:t>We have applied an overall group materiality of € 18 million.</w:t>
            </w:r>
          </w:p>
        </w:tc>
      </w:tr>
      <w:tr w14:paraId="4A5176C9" w14:textId="77777777" w:rsidTr="000A37FF">
        <w:tblPrEx>
          <w:tblW w:w="0" w:type="auto"/>
          <w:tblLook w:val="0680"/>
        </w:tblPrEx>
        <w:trPr>
          <w:trHeight w:val="920"/>
        </w:trPr>
        <w:tc>
          <w:tcPr>
            <w:tcW w:w="1844" w:type="dxa"/>
            <w:vMerge/>
            <w:tcBorders>
              <w:top w:val="dotted" w:sz="4" w:space="0" w:color="DC6900"/>
              <w:bottom w:val="single" w:sz="4" w:space="0" w:color="DC6900"/>
            </w:tcBorders>
          </w:tcPr>
          <w:p w:rsidR="00A954A9" w:rsidRPr="00A954A9" w:rsidP="00A954A9" w14:paraId="1A010651" w14:textId="77777777">
            <w:pPr>
              <w:suppressAutoHyphens/>
              <w:spacing w:before="60" w:after="60" w:line="264" w:lineRule="auto"/>
              <w:rPr>
                <w:rFonts w:ascii="Arial" w:eastAsia="Arial" w:hAnsi="Arial" w:cs="Times New Roman"/>
                <w:lang w:val="en-US"/>
              </w:rPr>
            </w:pPr>
          </w:p>
        </w:tc>
        <w:tc>
          <w:tcPr>
            <w:tcW w:w="8023" w:type="dxa"/>
            <w:tcBorders>
              <w:top w:val="dotted" w:sz="4" w:space="0" w:color="DC6900"/>
              <w:bottom w:val="single" w:sz="4" w:space="0" w:color="DC6900"/>
            </w:tcBorders>
          </w:tcPr>
          <w:p w:rsidR="00A954A9" w:rsidRPr="00A954A9" w:rsidP="0052585C" w14:paraId="345C0C52" w14:textId="77777777">
            <w:pPr>
              <w:pStyle w:val="WAuditH9"/>
            </w:pPr>
            <w:r w:rsidRPr="00A954A9">
              <w:t xml:space="preserve">The group audit scope included Wärtsilä Corporation parent company and all significant operating companies, as well as a </w:t>
            </w:r>
            <w:r w:rsidRPr="00A954A9">
              <w:t>large number of smaller companies, covering the vast majority of revenues, assets and liabilities.</w:t>
            </w:r>
          </w:p>
        </w:tc>
      </w:tr>
      <w:tr w14:paraId="45D48218" w14:textId="77777777" w:rsidTr="000A37FF">
        <w:tblPrEx>
          <w:tblW w:w="0" w:type="auto"/>
          <w:tblLook w:val="0680"/>
        </w:tblPrEx>
        <w:trPr>
          <w:trHeight w:val="920"/>
        </w:trPr>
        <w:tc>
          <w:tcPr>
            <w:tcW w:w="1844" w:type="dxa"/>
            <w:vMerge/>
            <w:tcBorders>
              <w:top w:val="dotted" w:sz="4" w:space="0" w:color="DC6900"/>
              <w:bottom w:val="single" w:sz="4" w:space="0" w:color="DC6900"/>
            </w:tcBorders>
          </w:tcPr>
          <w:p w:rsidR="00A954A9" w:rsidRPr="00A954A9" w:rsidP="00A954A9" w14:paraId="3246E46C" w14:textId="77777777">
            <w:pPr>
              <w:suppressAutoHyphens/>
              <w:spacing w:before="60" w:after="60" w:line="264" w:lineRule="auto"/>
              <w:rPr>
                <w:rFonts w:ascii="Arial" w:eastAsia="Arial" w:hAnsi="Arial" w:cs="Times New Roman"/>
                <w:lang w:val="en-US"/>
              </w:rPr>
            </w:pPr>
          </w:p>
        </w:tc>
        <w:tc>
          <w:tcPr>
            <w:tcW w:w="8023" w:type="dxa"/>
            <w:tcBorders>
              <w:top w:val="single" w:sz="4" w:space="0" w:color="DC6900"/>
              <w:bottom w:val="single" w:sz="4" w:space="0" w:color="DC6900"/>
            </w:tcBorders>
          </w:tcPr>
          <w:p w:rsidR="00A954A9" w:rsidRPr="00A954A9" w:rsidP="0052585C" w14:paraId="64B5D02F" w14:textId="77777777">
            <w:pPr>
              <w:pStyle w:val="WAuditH9"/>
            </w:pPr>
            <w:r w:rsidRPr="00A954A9">
              <w:t>Revenue recognition of long-term contracts</w:t>
            </w:r>
          </w:p>
          <w:p w:rsidR="00A954A9" w:rsidRPr="00A954A9" w:rsidP="0052585C" w14:paraId="2E0089D2" w14:textId="77777777">
            <w:pPr>
              <w:pStyle w:val="WAuditH9"/>
            </w:pPr>
            <w:r w:rsidRPr="00A954A9">
              <w:t>Valuation of goodwill</w:t>
            </w:r>
          </w:p>
          <w:p w:rsidR="00A954A9" w:rsidRPr="00A954A9" w:rsidP="0052585C" w14:paraId="65B40299" w14:textId="77777777">
            <w:pPr>
              <w:pStyle w:val="WAuditH9"/>
            </w:pPr>
            <w:r w:rsidRPr="00A954A9">
              <w:t>Valuation of trade receivables</w:t>
            </w:r>
          </w:p>
        </w:tc>
      </w:tr>
    </w:tbl>
    <w:p w:rsidR="00A954A9" w:rsidRPr="00A954A9" w:rsidP="00A954A9" w14:paraId="048FBCBF" w14:textId="77777777">
      <w:pPr>
        <w:suppressAutoHyphens/>
        <w:spacing w:after="0" w:line="240" w:lineRule="atLeast"/>
        <w:rPr>
          <w:rFonts w:ascii="Arial" w:eastAsia="Arial" w:hAnsi="Arial" w:cs="Times New Roman"/>
          <w:sz w:val="20"/>
          <w:szCs w:val="20"/>
        </w:rPr>
      </w:pPr>
    </w:p>
    <w:p w:rsidR="00A954A9" w:rsidRPr="00A954A9" w:rsidP="00A4473A" w14:paraId="19489FB0" w14:textId="77777777">
      <w:pPr>
        <w:pStyle w:val="WAuditBodyText"/>
      </w:pPr>
      <w:r w:rsidRPr="00A954A9">
        <w:t>As part of designing our audit, we determined materiality and assessed the risks of material misstatement in the financial statements. In particular, we considered where management made subjective judgements; for example, in respect of significant accounti</w:t>
      </w:r>
      <w:r w:rsidRPr="00A954A9">
        <w:t>ng estimates that involved making assumptions and considering future events that are inherently uncertain.</w:t>
      </w:r>
    </w:p>
    <w:p w:rsidR="00A954A9" w:rsidRPr="00A954A9" w:rsidP="00CD28B6" w14:paraId="1222F48A" w14:textId="77777777">
      <w:pPr>
        <w:pStyle w:val="WAuditH4"/>
      </w:pPr>
      <w:r w:rsidRPr="00A954A9">
        <w:t>Materiality</w:t>
      </w:r>
    </w:p>
    <w:p w:rsidR="00A954A9" w:rsidRPr="00A954A9" w:rsidP="00A4473A" w14:paraId="620BFE30" w14:textId="77777777">
      <w:pPr>
        <w:pStyle w:val="WAuditBodyText"/>
      </w:pPr>
      <w:r w:rsidRPr="00A954A9">
        <w:t xml:space="preserve">The scope of our audit was influenced by our application of materiality. An audit is designed to obtain reasonable assurance whether the </w:t>
      </w:r>
      <w:r w:rsidRPr="00A954A9">
        <w:t>financial statements are free from material misstatement. Misstatements may arise due to fraud or error. They are considered material if individually or in aggregate, they could reasonably be expected to influence the economic decisions of users taken on t</w:t>
      </w:r>
      <w:r w:rsidRPr="00A954A9">
        <w:t>he basis of the financial statements.</w:t>
      </w:r>
    </w:p>
    <w:p w:rsidR="00A954A9" w:rsidRPr="00A954A9" w:rsidP="00A954A9" w14:paraId="01237027" w14:textId="77777777">
      <w:pPr>
        <w:suppressAutoHyphens/>
        <w:spacing w:after="180" w:line="240" w:lineRule="atLeast"/>
        <w:rPr>
          <w:rFonts w:ascii="Arial" w:eastAsia="Arial" w:hAnsi="Arial" w:cs="Times New Roman"/>
          <w:sz w:val="20"/>
          <w:szCs w:val="20"/>
          <w:lang w:val="en-US"/>
        </w:rPr>
      </w:pPr>
    </w:p>
    <w:p w:rsidR="00A954A9" w:rsidRPr="00A954A9" w:rsidP="00D07539" w14:paraId="47922D2F" w14:textId="77777777">
      <w:pPr>
        <w:pStyle w:val="WAuditBodyText"/>
      </w:pPr>
      <w:r w:rsidRPr="00A954A9">
        <w:t>Based on our professional judgement, we determined certain quantitative thresholds for materiality, including the overall group materiality for the consolidated financial statements as set out in the table below. Thes</w:t>
      </w:r>
      <w:r w:rsidRPr="00A954A9">
        <w:t>e, together with qualitative considerations, helped us to determine the scope of our audit and the nature, timing and extent of our audit procedures and to evaluate the effect of misstatements on the financial statements as a whole.</w:t>
      </w:r>
    </w:p>
    <w:tbl>
      <w:tblPr>
        <w:tblStyle w:val="PwCTableFigures"/>
        <w:tblW w:w="7331" w:type="dxa"/>
        <w:tblBorders>
          <w:top w:val="single" w:sz="4" w:space="0" w:color="DC6900"/>
        </w:tblBorders>
        <w:tblLook w:val="0680"/>
      </w:tblPr>
      <w:tblGrid>
        <w:gridCol w:w="2634"/>
        <w:gridCol w:w="4697"/>
      </w:tblGrid>
      <w:tr w14:paraId="64CFA2E6" w14:textId="77777777" w:rsidTr="000A37FF">
        <w:tblPrEx>
          <w:tblW w:w="7331" w:type="dxa"/>
          <w:tblBorders>
            <w:top w:val="single" w:sz="4" w:space="0" w:color="DC6900"/>
          </w:tblBorders>
          <w:tblLook w:val="0680"/>
        </w:tblPrEx>
        <w:trPr>
          <w:trHeight w:val="22"/>
        </w:trPr>
        <w:tc>
          <w:tcPr>
            <w:tcW w:w="3397" w:type="dxa"/>
          </w:tcPr>
          <w:p w:rsidR="00A954A9" w:rsidRPr="0052585C" w:rsidP="0052585C" w14:paraId="4DDC3393" w14:textId="77777777">
            <w:pPr>
              <w:pStyle w:val="WAuditH8"/>
              <w:rPr>
                <w:b/>
                <w:bCs/>
                <w:color w:val="DC6900"/>
              </w:rPr>
            </w:pPr>
            <w:r w:rsidRPr="0052585C">
              <w:rPr>
                <w:b/>
                <w:bCs/>
                <w:color w:val="DC6900"/>
              </w:rPr>
              <w:t>Overall group materiali</w:t>
            </w:r>
            <w:r w:rsidRPr="0052585C">
              <w:rPr>
                <w:b/>
                <w:bCs/>
                <w:color w:val="DC6900"/>
              </w:rPr>
              <w:t>ty</w:t>
            </w:r>
          </w:p>
        </w:tc>
        <w:tc>
          <w:tcPr>
            <w:tcW w:w="6608" w:type="dxa"/>
          </w:tcPr>
          <w:p w:rsidR="00A954A9" w:rsidRPr="00A954A9" w:rsidP="0052585C" w14:paraId="13B368FE" w14:textId="77777777">
            <w:pPr>
              <w:pStyle w:val="WAuditH8"/>
            </w:pPr>
            <w:r w:rsidRPr="00A954A9">
              <w:t>€ 18 million (prior year € 20 million)</w:t>
            </w:r>
          </w:p>
        </w:tc>
      </w:tr>
      <w:tr w14:paraId="1DC5C502" w14:textId="77777777" w:rsidTr="000A37FF">
        <w:tblPrEx>
          <w:tblW w:w="7331" w:type="dxa"/>
          <w:tblLook w:val="0680"/>
        </w:tblPrEx>
        <w:tc>
          <w:tcPr>
            <w:tcW w:w="3397" w:type="dxa"/>
          </w:tcPr>
          <w:p w:rsidR="00A954A9" w:rsidRPr="0052585C" w:rsidP="0052585C" w14:paraId="0CA94E77" w14:textId="77777777">
            <w:pPr>
              <w:pStyle w:val="WAuditH8"/>
              <w:rPr>
                <w:b/>
                <w:bCs/>
                <w:iCs/>
                <w:color w:val="DC6900"/>
              </w:rPr>
            </w:pPr>
            <w:r w:rsidRPr="0052585C">
              <w:rPr>
                <w:b/>
                <w:bCs/>
                <w:iCs/>
                <w:color w:val="DC6900"/>
              </w:rPr>
              <w:t>How we determined it</w:t>
            </w:r>
          </w:p>
        </w:tc>
        <w:tc>
          <w:tcPr>
            <w:tcW w:w="6608" w:type="dxa"/>
          </w:tcPr>
          <w:p w:rsidR="00A954A9" w:rsidRPr="00A954A9" w:rsidP="0052585C" w14:paraId="5633D6D6" w14:textId="77777777">
            <w:pPr>
              <w:pStyle w:val="WAuditH8"/>
            </w:pPr>
            <w:r w:rsidRPr="00A954A9">
              <w:t>5% of profit before tax (five-year average)</w:t>
            </w:r>
          </w:p>
        </w:tc>
      </w:tr>
      <w:tr w14:paraId="506F9DB9" w14:textId="77777777" w:rsidTr="000A37FF">
        <w:tblPrEx>
          <w:tblW w:w="7331" w:type="dxa"/>
          <w:tblLook w:val="0680"/>
        </w:tblPrEx>
        <w:tc>
          <w:tcPr>
            <w:tcW w:w="3397" w:type="dxa"/>
          </w:tcPr>
          <w:p w:rsidR="00A954A9" w:rsidRPr="0052585C" w:rsidP="0052585C" w14:paraId="47239B78" w14:textId="77777777">
            <w:pPr>
              <w:pStyle w:val="WAuditH8"/>
              <w:rPr>
                <w:b/>
                <w:bCs/>
                <w:iCs/>
                <w:color w:val="DC6900"/>
              </w:rPr>
            </w:pPr>
            <w:r w:rsidRPr="0052585C">
              <w:rPr>
                <w:b/>
                <w:bCs/>
                <w:iCs/>
                <w:color w:val="DC6900"/>
              </w:rPr>
              <w:t>Rationale for the materiality benchmark applied</w:t>
            </w:r>
          </w:p>
        </w:tc>
        <w:tc>
          <w:tcPr>
            <w:tcW w:w="6608" w:type="dxa"/>
          </w:tcPr>
          <w:p w:rsidR="00A954A9" w:rsidRPr="00A954A9" w:rsidP="0052585C" w14:paraId="3C1017D8" w14:textId="77777777">
            <w:pPr>
              <w:pStyle w:val="WAuditH8"/>
            </w:pPr>
            <w:r w:rsidRPr="00A954A9">
              <w:t xml:space="preserve">We chose profit before tax as the benchmark because, in our view, the performance of the Group is </w:t>
            </w:r>
            <w:r w:rsidRPr="00A954A9">
              <w:t>most commonly measured by using this criteria, and it is a generally accepted benchmark. We chose 5% which is within the range of acceptable quantitative materiality thresholds in auditing standards.</w:t>
            </w:r>
          </w:p>
        </w:tc>
      </w:tr>
    </w:tbl>
    <w:p w:rsidR="00A954A9" w:rsidRPr="00A954A9" w:rsidP="00CD28B6" w14:paraId="65029D65" w14:textId="77777777">
      <w:pPr>
        <w:pStyle w:val="WAuditH4"/>
      </w:pPr>
      <w:r w:rsidRPr="00A954A9">
        <w:t>How we tailored our group audit scope</w:t>
      </w:r>
    </w:p>
    <w:p w:rsidR="00A954A9" w:rsidRPr="00A954A9" w:rsidP="00A4473A" w14:paraId="305D07B4" w14:textId="77777777">
      <w:pPr>
        <w:pStyle w:val="WAuditBodyText"/>
      </w:pPr>
      <w:r w:rsidRPr="00A954A9">
        <w:t>The group audit s</w:t>
      </w:r>
      <w:r w:rsidRPr="00A954A9">
        <w:t xml:space="preserve">cope was tailored to take into account the structure of the Group and the size, complexity and risk of individual subsidiaries. Using this criteria we selected companies and accounts into our audit scope and at the same time ensured that we get sufficient </w:t>
      </w:r>
      <w:r w:rsidRPr="00A954A9">
        <w:t>coverage to our audit, in order to issue an audit opinion for the Group.</w:t>
      </w:r>
    </w:p>
    <w:p w:rsidR="00A954A9" w:rsidRPr="00A954A9" w:rsidP="00CD28B6" w14:paraId="7BFD6053" w14:textId="77777777">
      <w:pPr>
        <w:pStyle w:val="WAuditH3"/>
      </w:pPr>
      <w:r w:rsidRPr="00A954A9">
        <w:t xml:space="preserve">Key Audit Matters </w:t>
      </w:r>
    </w:p>
    <w:p w:rsidR="00A954A9" w:rsidRPr="00A954A9" w:rsidP="00A4473A" w14:paraId="42654B7C" w14:textId="77777777">
      <w:pPr>
        <w:pStyle w:val="WAuditBodyText"/>
      </w:pPr>
      <w:r w:rsidRPr="00A954A9">
        <w:t xml:space="preserve">Key audit matters are those matters that, in our </w:t>
      </w:r>
      <w:r w:rsidRPr="00A954A9">
        <w:t xml:space="preserve">professional judgment, were of most significance in our audit of the financial statements of the current period. These matters were addressed in the context of our audit of the financial statements as a whole, and in forming our opinion thereon, and we do </w:t>
      </w:r>
      <w:r w:rsidRPr="00A954A9">
        <w:t>not provide a separate opinion on these matters.</w:t>
      </w:r>
    </w:p>
    <w:p w:rsidR="00A954A9" w:rsidRPr="00A954A9" w:rsidP="00A4473A" w14:paraId="430DAD49" w14:textId="77777777">
      <w:pPr>
        <w:pStyle w:val="WAuditBodyText"/>
      </w:pPr>
      <w:r w:rsidRPr="00A954A9">
        <w:t>As in all of our audits, we also addressed the risk of management override of internal controls, including among other matters consideration of whether there was evidence of bias that represented a risk of m</w:t>
      </w:r>
      <w:r w:rsidRPr="00A954A9">
        <w:t>aterial misstatement due to fraud.</w:t>
      </w:r>
    </w:p>
    <w:p w:rsidR="00A954A9" w:rsidRPr="00A954A9" w:rsidP="00A954A9" w14:paraId="7EBDB02B" w14:textId="77777777">
      <w:pPr>
        <w:suppressAutoHyphens/>
        <w:spacing w:after="180" w:line="240" w:lineRule="atLeast"/>
        <w:rPr>
          <w:rFonts w:ascii="Arial" w:eastAsia="Arial" w:hAnsi="Arial" w:cs="Times New Roman"/>
          <w:sz w:val="20"/>
          <w:szCs w:val="20"/>
          <w:lang w:val="en-US"/>
        </w:rPr>
      </w:pPr>
    </w:p>
    <w:tbl>
      <w:tblPr>
        <w:tblStyle w:val="PwCTableFigures"/>
        <w:tblW w:w="7331" w:type="dxa"/>
        <w:tblBorders>
          <w:top w:val="single" w:sz="6" w:space="0" w:color="DC6900"/>
          <w:bottom w:val="single" w:sz="6" w:space="0" w:color="DC6900"/>
        </w:tblBorders>
        <w:tblLook w:val="04A0"/>
      </w:tblPr>
      <w:tblGrid>
        <w:gridCol w:w="3536"/>
        <w:gridCol w:w="3795"/>
      </w:tblGrid>
      <w:tr w14:paraId="2051BEF1" w14:textId="77777777" w:rsidTr="000A37FF">
        <w:tblPrEx>
          <w:tblW w:w="7331" w:type="dxa"/>
          <w:tblBorders>
            <w:top w:val="single" w:sz="6" w:space="0" w:color="DC6900"/>
            <w:bottom w:val="single" w:sz="6" w:space="0" w:color="DC6900"/>
          </w:tblBorders>
          <w:tblLook w:val="04A0"/>
        </w:tblPrEx>
        <w:tc>
          <w:tcPr>
            <w:tcW w:w="4962" w:type="dxa"/>
            <w:tcBorders>
              <w:left w:val="none" w:sz="0" w:space="0" w:color="auto"/>
              <w:right w:val="none" w:sz="0" w:space="0" w:color="auto"/>
              <w:tl2br w:val="none" w:sz="0" w:space="0" w:color="auto"/>
              <w:tr2bl w:val="none" w:sz="0" w:space="0" w:color="auto"/>
            </w:tcBorders>
            <w:shd w:val="clear" w:color="auto" w:fill="DC6900"/>
          </w:tcPr>
          <w:p w:rsidR="00A954A9" w:rsidRPr="00A954A9" w:rsidP="00A954A9" w14:paraId="4E1C5BFA" w14:textId="77777777">
            <w:pPr>
              <w:suppressAutoHyphens/>
              <w:spacing w:before="60" w:after="60" w:line="264" w:lineRule="auto"/>
              <w:rPr>
                <w:rFonts w:ascii="Arial" w:eastAsia="Arial" w:hAnsi="Arial" w:cs="Times New Roman"/>
                <w:lang w:val="en-US"/>
              </w:rPr>
            </w:pPr>
            <w:r w:rsidRPr="00A954A9">
              <w:rPr>
                <w:rFonts w:ascii="Arial" w:eastAsia="Arial" w:hAnsi="Arial" w:cs="Times New Roman"/>
                <w:color w:val="FFFFFF"/>
                <w:lang w:val="en-US"/>
              </w:rPr>
              <w:t>Key audit matter</w:t>
            </w:r>
            <w:r w:rsidRPr="00A954A9">
              <w:rPr>
                <w:rFonts w:ascii="Arial" w:eastAsia="Arial" w:hAnsi="Arial" w:cs="Times New Roman"/>
              </w:rPr>
              <w:t xml:space="preserve"> </w:t>
            </w:r>
            <w:r w:rsidRPr="00A954A9">
              <w:rPr>
                <w:rFonts w:ascii="Arial" w:eastAsia="Arial" w:hAnsi="Arial" w:cs="Times New Roman"/>
                <w:color w:val="FFFFFF"/>
                <w:lang w:val="en-US"/>
              </w:rPr>
              <w:t>in the audit of the group</w:t>
            </w:r>
          </w:p>
        </w:tc>
        <w:tc>
          <w:tcPr>
            <w:tcW w:w="5085" w:type="dxa"/>
            <w:tcBorders>
              <w:left w:val="none" w:sz="0" w:space="0" w:color="auto"/>
              <w:right w:val="none" w:sz="0" w:space="0" w:color="auto"/>
              <w:tl2br w:val="none" w:sz="0" w:space="0" w:color="auto"/>
              <w:tr2bl w:val="none" w:sz="0" w:space="0" w:color="auto"/>
            </w:tcBorders>
            <w:shd w:val="clear" w:color="auto" w:fill="DC6900"/>
          </w:tcPr>
          <w:p w:rsidR="00A954A9" w:rsidRPr="00A954A9" w:rsidP="00A954A9" w14:paraId="3101777D" w14:textId="77777777">
            <w:pPr>
              <w:suppressAutoHyphens/>
              <w:spacing w:before="60" w:after="60" w:line="264" w:lineRule="auto"/>
              <w:rPr>
                <w:rFonts w:ascii="Arial" w:eastAsia="Arial" w:hAnsi="Arial" w:cs="Times New Roman"/>
                <w:lang w:val="en-US"/>
              </w:rPr>
            </w:pPr>
            <w:r w:rsidRPr="00A954A9">
              <w:rPr>
                <w:rFonts w:ascii="Arial" w:eastAsia="Arial" w:hAnsi="Arial" w:cs="Times New Roman"/>
                <w:color w:val="FFFFFF"/>
                <w:lang w:val="en-US"/>
              </w:rPr>
              <w:t>How our audit addressed the key audit matter</w:t>
            </w:r>
          </w:p>
        </w:tc>
      </w:tr>
      <w:tr w14:paraId="068B9D14" w14:textId="77777777" w:rsidTr="000A37FF">
        <w:tblPrEx>
          <w:tblW w:w="7331" w:type="dxa"/>
          <w:tblLook w:val="04A0"/>
        </w:tblPrEx>
        <w:tc>
          <w:tcPr>
            <w:tcW w:w="4962" w:type="dxa"/>
            <w:tcBorders>
              <w:top w:val="single" w:sz="6" w:space="0" w:color="DC6900"/>
            </w:tcBorders>
          </w:tcPr>
          <w:p w:rsidR="00A954A9" w:rsidRPr="004F5D9C" w:rsidP="004F5D9C" w14:paraId="7B16F6CB" w14:textId="77777777">
            <w:pPr>
              <w:pStyle w:val="WAuditH8"/>
              <w:rPr>
                <w:color w:val="DC6900"/>
              </w:rPr>
            </w:pPr>
            <w:r w:rsidRPr="004F5D9C">
              <w:rPr>
                <w:color w:val="DC6900"/>
              </w:rPr>
              <w:t>Revenue recognition of long-term contracts</w:t>
            </w:r>
          </w:p>
          <w:p w:rsidR="00A954A9" w:rsidRPr="00A954A9" w:rsidP="004F5D9C" w14:paraId="3B06C262" w14:textId="77777777">
            <w:pPr>
              <w:pStyle w:val="WAuditH8"/>
              <w:rPr>
                <w:i/>
              </w:rPr>
            </w:pPr>
            <w:r w:rsidRPr="00A954A9">
              <w:rPr>
                <w:i/>
              </w:rPr>
              <w:t>Refer to the consolidated financial statements note 2.2.</w:t>
            </w:r>
          </w:p>
          <w:p w:rsidR="00A954A9" w:rsidRPr="00A954A9" w:rsidP="004F5D9C" w14:paraId="0D5BEE2A" w14:textId="77777777">
            <w:pPr>
              <w:pStyle w:val="WAuditH8"/>
            </w:pPr>
            <w:r w:rsidRPr="00A954A9">
              <w:t xml:space="preserve">The group has significant revenue from construction contracts and long-term operating and maintenance agreements. These long-term contracts are often complex customised solutions and meet the definition for revenue recognition over time in accordance with </w:t>
            </w:r>
            <w:r w:rsidRPr="00A954A9">
              <w:t>IFRS 15.</w:t>
            </w:r>
          </w:p>
          <w:p w:rsidR="00A954A9" w:rsidRPr="00A954A9" w:rsidP="004F5D9C" w14:paraId="1ACC7C74" w14:textId="77777777">
            <w:pPr>
              <w:pStyle w:val="WAuditH8"/>
            </w:pPr>
            <w:r w:rsidRPr="00A954A9">
              <w:t>Revenue related to these construction contracts and long-term operating and maintenance agreements is recognised using the percentage of completion method, where progress is determined by comparing actual costs incurred to date, with the total est</w:t>
            </w:r>
            <w:r w:rsidRPr="00A954A9">
              <w:t xml:space="preserve">imated costs of the project.  Revenue recognition for long-term contracts includes </w:t>
            </w:r>
            <w:r w:rsidRPr="00A954A9">
              <w:t>management judgment in a form of estimates, which are subject to management experience and expectations of future events. The most important judgment relates to the estimate</w:t>
            </w:r>
            <w:r w:rsidRPr="00A954A9">
              <w:t>d total costs of the project.</w:t>
            </w:r>
          </w:p>
          <w:p w:rsidR="00A954A9" w:rsidRPr="00A954A9" w:rsidP="004F5D9C" w14:paraId="31CF34A6" w14:textId="77777777">
            <w:pPr>
              <w:pStyle w:val="WAuditH8"/>
            </w:pPr>
            <w:r w:rsidRPr="00A954A9">
              <w:t>Revenue recognition of long-term contracts is a key audit matter in the audit due to the high level of management judgement involved in the project estimates.</w:t>
            </w:r>
          </w:p>
          <w:p w:rsidR="00A954A9" w:rsidRPr="00A954A9" w:rsidP="004F5D9C" w14:paraId="75239B38" w14:textId="77777777">
            <w:pPr>
              <w:pStyle w:val="WAuditH8"/>
              <w:rPr>
                <w:color w:val="FF0000"/>
              </w:rPr>
            </w:pPr>
          </w:p>
          <w:p w:rsidR="00A954A9" w:rsidRPr="00A954A9" w:rsidP="004F5D9C" w14:paraId="7206A827" w14:textId="77777777">
            <w:pPr>
              <w:pStyle w:val="WAuditH8"/>
              <w:rPr>
                <w:color w:val="FF0000"/>
              </w:rPr>
            </w:pPr>
          </w:p>
          <w:p w:rsidR="00A954A9" w:rsidRPr="00A954A9" w:rsidP="004F5D9C" w14:paraId="046DE745" w14:textId="77777777">
            <w:pPr>
              <w:pStyle w:val="WAuditH8"/>
              <w:rPr>
                <w:color w:val="FF0000"/>
              </w:rPr>
            </w:pPr>
          </w:p>
        </w:tc>
        <w:tc>
          <w:tcPr>
            <w:tcW w:w="5085" w:type="dxa"/>
            <w:tcBorders>
              <w:top w:val="single" w:sz="6" w:space="0" w:color="DC6900"/>
            </w:tcBorders>
          </w:tcPr>
          <w:p w:rsidR="00A954A9" w:rsidRPr="00A954A9" w:rsidP="004F5D9C" w14:paraId="074DE25D" w14:textId="77777777">
            <w:pPr>
              <w:pStyle w:val="WAuditH8"/>
            </w:pPr>
          </w:p>
          <w:p w:rsidR="00A954A9" w:rsidRPr="00A954A9" w:rsidP="004F5D9C" w14:paraId="51F1C846" w14:textId="77777777">
            <w:pPr>
              <w:pStyle w:val="WAuditH8"/>
            </w:pPr>
            <w:r w:rsidRPr="00A954A9">
              <w:t xml:space="preserve">Our revenue testing included both testing of the company’s controls, as well as substantive audit procedures targeted at selected major long-term projects. Our substantive testing focused on estimates applied by management in the accounting. </w:t>
            </w:r>
          </w:p>
          <w:p w:rsidR="00A954A9" w:rsidRPr="00A954A9" w:rsidP="004F5D9C" w14:paraId="439D1200" w14:textId="77777777">
            <w:pPr>
              <w:pStyle w:val="WAuditH8"/>
            </w:pPr>
            <w:r w:rsidRPr="00A954A9">
              <w:t>Our procedure</w:t>
            </w:r>
            <w:r w:rsidRPr="00A954A9">
              <w:t>s included, among other things, the following:</w:t>
            </w:r>
          </w:p>
          <w:p w:rsidR="00A954A9" w:rsidRPr="00A954A9" w:rsidP="00793D35" w14:paraId="7BC86B67" w14:textId="77777777">
            <w:pPr>
              <w:pStyle w:val="WAuditH8"/>
              <w:numPr>
                <w:ilvl w:val="0"/>
                <w:numId w:val="5"/>
              </w:numPr>
            </w:pPr>
            <w:r w:rsidRPr="00A954A9">
              <w:t>Ensured that the revenue recognition method applied was appropriate based on the terms of the arrangement</w:t>
            </w:r>
          </w:p>
          <w:p w:rsidR="00A954A9" w:rsidRPr="00A954A9" w:rsidP="00793D35" w14:paraId="52CD53B7" w14:textId="77777777">
            <w:pPr>
              <w:pStyle w:val="WAuditH8"/>
              <w:numPr>
                <w:ilvl w:val="0"/>
                <w:numId w:val="5"/>
              </w:numPr>
            </w:pPr>
            <w:r w:rsidRPr="00A954A9">
              <w:t>Agreed the total project revenue estimates to sales agreements, including amendments as appropriate</w:t>
            </w:r>
          </w:p>
          <w:p w:rsidR="00A954A9" w:rsidRPr="00A954A9" w:rsidP="00793D35" w14:paraId="2A1172B7" w14:textId="77777777">
            <w:pPr>
              <w:pStyle w:val="WAuditH8"/>
              <w:numPr>
                <w:ilvl w:val="0"/>
                <w:numId w:val="5"/>
              </w:numPr>
            </w:pPr>
            <w:r w:rsidRPr="00A954A9">
              <w:t xml:space="preserve">We </w:t>
            </w:r>
            <w:r w:rsidRPr="00A954A9">
              <w:t>obtained an understanding of the processes and tested relevant controls, which impact the revenue recognition</w:t>
            </w:r>
          </w:p>
          <w:p w:rsidR="00A954A9" w:rsidRPr="00A954A9" w:rsidP="00793D35" w14:paraId="7A6AAB25" w14:textId="77777777">
            <w:pPr>
              <w:pStyle w:val="WAuditH8"/>
              <w:numPr>
                <w:ilvl w:val="0"/>
                <w:numId w:val="5"/>
              </w:numPr>
            </w:pPr>
            <w:r w:rsidRPr="00A954A9">
              <w:t>We assessed the reliability of management’s estimates by comparing the actual results of delivered projects to previous estimates</w:t>
            </w:r>
          </w:p>
          <w:p w:rsidR="00A954A9" w:rsidRPr="00A954A9" w:rsidP="00793D35" w14:paraId="6934B462" w14:textId="77777777">
            <w:pPr>
              <w:pStyle w:val="WAuditH8"/>
              <w:numPr>
                <w:ilvl w:val="0"/>
                <w:numId w:val="5"/>
              </w:numPr>
            </w:pPr>
            <w:r w:rsidRPr="00A954A9">
              <w:t>We challenged th</w:t>
            </w:r>
            <w:r w:rsidRPr="00A954A9">
              <w:t>e management estimates and assumptions in projects, which were considered to include specific risk factors</w:t>
            </w:r>
          </w:p>
          <w:p w:rsidR="00A954A9" w:rsidRPr="00A954A9" w:rsidP="00793D35" w14:paraId="25F8FCE1" w14:textId="77777777">
            <w:pPr>
              <w:pStyle w:val="WAuditH8"/>
              <w:numPr>
                <w:ilvl w:val="0"/>
                <w:numId w:val="5"/>
              </w:numPr>
            </w:pPr>
            <w:r w:rsidRPr="00A954A9">
              <w:t xml:space="preserve">Recalculated the revenue based on the stage of completion of the projects. Ensured that the stage of completion is correct by comparing actual costs </w:t>
            </w:r>
            <w:r w:rsidRPr="00A954A9">
              <w:t>per the company’s accounting records to the estimated total costs of the projects.</w:t>
            </w:r>
          </w:p>
          <w:p w:rsidR="00A954A9" w:rsidRPr="00A954A9" w:rsidP="004F5D9C" w14:paraId="5C09FF15" w14:textId="77777777">
            <w:pPr>
              <w:pStyle w:val="WAuditH8"/>
            </w:pPr>
          </w:p>
        </w:tc>
      </w:tr>
      <w:tr w14:paraId="2F1523EC" w14:textId="77777777" w:rsidTr="000A37FF">
        <w:tblPrEx>
          <w:tblW w:w="7331" w:type="dxa"/>
          <w:tblLook w:val="04A0"/>
        </w:tblPrEx>
        <w:tc>
          <w:tcPr>
            <w:tcW w:w="4962" w:type="dxa"/>
          </w:tcPr>
          <w:p w:rsidR="00A954A9" w:rsidRPr="004F5D9C" w:rsidP="004F5D9C" w14:paraId="3515B094" w14:textId="77777777">
            <w:pPr>
              <w:pStyle w:val="WAuditH8"/>
              <w:rPr>
                <w:color w:val="DC6900"/>
              </w:rPr>
            </w:pPr>
            <w:r w:rsidRPr="004F5D9C">
              <w:rPr>
                <w:color w:val="DC6900"/>
              </w:rPr>
              <w:t>Valuation of goodwill</w:t>
            </w:r>
          </w:p>
          <w:p w:rsidR="00A954A9" w:rsidRPr="00A954A9" w:rsidP="004F5D9C" w14:paraId="1C23ECF8" w14:textId="77777777">
            <w:pPr>
              <w:pStyle w:val="WAuditH8"/>
              <w:rPr>
                <w:i/>
              </w:rPr>
            </w:pPr>
            <w:r w:rsidRPr="00A954A9">
              <w:rPr>
                <w:i/>
              </w:rPr>
              <w:t>Refer to the consolidated financial statements note 3.1.</w:t>
            </w:r>
          </w:p>
          <w:p w:rsidR="00A954A9" w:rsidRPr="00A954A9" w:rsidP="004F5D9C" w14:paraId="29469959" w14:textId="77777777">
            <w:pPr>
              <w:pStyle w:val="WAuditH8"/>
            </w:pPr>
            <w:r w:rsidRPr="00A954A9">
              <w:t xml:space="preserve">Goodwill is one of the most significant balance sheet items and amounts to € 1 374 million. </w:t>
            </w:r>
            <w:r w:rsidRPr="00A954A9">
              <w:t xml:space="preserve">The determination and whether an impairment charge is required involves significant management judgement, including identifying on which cash generating unit level the goodwill is tested and estimating the future performance of the business </w:t>
            </w:r>
            <w:r w:rsidRPr="00A954A9">
              <w:t>and the discoun</w:t>
            </w:r>
            <w:r w:rsidRPr="00A954A9">
              <w:t xml:space="preserve">t rate applied to these future cash flows. </w:t>
            </w:r>
          </w:p>
          <w:p w:rsidR="00A954A9" w:rsidRPr="00A954A9" w:rsidP="004F5D9C" w14:paraId="1475A81A" w14:textId="77777777">
            <w:pPr>
              <w:pStyle w:val="WAuditH8"/>
            </w:pPr>
            <w:r w:rsidRPr="00A954A9">
              <w:t>Valuation of goodwill is a key audit matter in the audit due to the size of the goodwill balance and the high level of management judgement involved.</w:t>
            </w:r>
          </w:p>
        </w:tc>
        <w:tc>
          <w:tcPr>
            <w:tcW w:w="5085" w:type="dxa"/>
          </w:tcPr>
          <w:p w:rsidR="00A954A9" w:rsidRPr="00A954A9" w:rsidP="004F5D9C" w14:paraId="00BEACD7" w14:textId="77777777">
            <w:pPr>
              <w:pStyle w:val="WAuditH8"/>
            </w:pPr>
            <w:r w:rsidRPr="00A954A9">
              <w:t>Our audit focused on assessing the reasonableness of the deter</w:t>
            </w:r>
            <w:r w:rsidRPr="00A954A9">
              <w:t>mination of cash generating units, which forms the basis for the goodwill impairment testing and assessing the appropriateness of management’s judgments and estimates used in the goodwill impairment analysis. Our procedures relating to the impairment analy</w:t>
            </w:r>
            <w:r w:rsidRPr="00A954A9">
              <w:t>sis included the following:</w:t>
            </w:r>
          </w:p>
          <w:p w:rsidR="00A954A9" w:rsidRPr="00A954A9" w:rsidP="00793D35" w14:paraId="2DF95AD8" w14:textId="77777777">
            <w:pPr>
              <w:pStyle w:val="WAuditH8"/>
              <w:numPr>
                <w:ilvl w:val="0"/>
                <w:numId w:val="5"/>
              </w:numPr>
            </w:pPr>
            <w:r w:rsidRPr="00A954A9">
              <w:t xml:space="preserve">We tested the methodology applied in the goodwill impairment analysis </w:t>
            </w:r>
            <w:r w:rsidRPr="00A954A9">
              <w:t>as compared to the requirements of IAS 36, Impairment of Assets</w:t>
            </w:r>
          </w:p>
          <w:p w:rsidR="00A954A9" w:rsidRPr="00A954A9" w:rsidP="00793D35" w14:paraId="521EE6C9" w14:textId="77777777">
            <w:pPr>
              <w:pStyle w:val="WAuditH8"/>
              <w:numPr>
                <w:ilvl w:val="0"/>
                <w:numId w:val="5"/>
              </w:numPr>
            </w:pPr>
            <w:r w:rsidRPr="00A954A9">
              <w:t>We evaluated the process by which the future cash flow forecasts were drawn up, including comparing them to the latest Board approved targets and long-term plans</w:t>
            </w:r>
          </w:p>
          <w:p w:rsidR="00A954A9" w:rsidRPr="00A954A9" w:rsidP="00793D35" w14:paraId="06889BF4" w14:textId="77777777">
            <w:pPr>
              <w:pStyle w:val="WAuditH8"/>
              <w:numPr>
                <w:ilvl w:val="0"/>
                <w:numId w:val="5"/>
              </w:numPr>
            </w:pPr>
            <w:r w:rsidRPr="00A954A9">
              <w:t>We tested the key underlying assumptions for the cash flow forecasts, including sales and prof</w:t>
            </w:r>
            <w:r w:rsidRPr="00A954A9">
              <w:t>itability forecasts, discount rate used and the implied growth rates beyond the forecasted period</w:t>
            </w:r>
          </w:p>
          <w:p w:rsidR="00A954A9" w:rsidRPr="00A954A9" w:rsidP="00793D35" w14:paraId="41D3A33A" w14:textId="77777777">
            <w:pPr>
              <w:pStyle w:val="WAuditH8"/>
              <w:numPr>
                <w:ilvl w:val="0"/>
                <w:numId w:val="5"/>
              </w:numPr>
            </w:pPr>
            <w:r w:rsidRPr="00A954A9">
              <w:t>We compared the current year actual results included in the prior year impairment model to consider whether forecasts included assumptions that, with hindsigh</w:t>
            </w:r>
            <w:r w:rsidRPr="00A954A9">
              <w:t>t, had been optimistic</w:t>
            </w:r>
          </w:p>
          <w:p w:rsidR="00A954A9" w:rsidRPr="00A954A9" w:rsidP="00793D35" w14:paraId="6F29BBC3" w14:textId="77777777">
            <w:pPr>
              <w:pStyle w:val="WAuditH8"/>
              <w:numPr>
                <w:ilvl w:val="0"/>
                <w:numId w:val="5"/>
              </w:numPr>
            </w:pPr>
            <w:r w:rsidRPr="00A954A9">
              <w:t>We considered whether the sensitivity analysis performed by the management around key assumptions of the cash flow forecast was appropriate by considering the likelihood of the movements of these key assumptions.</w:t>
            </w:r>
          </w:p>
        </w:tc>
      </w:tr>
      <w:tr w14:paraId="7F6BA96A" w14:textId="77777777" w:rsidTr="000A37FF">
        <w:tblPrEx>
          <w:tblW w:w="7331" w:type="dxa"/>
          <w:tblLook w:val="04A0"/>
        </w:tblPrEx>
        <w:tc>
          <w:tcPr>
            <w:tcW w:w="4962" w:type="dxa"/>
          </w:tcPr>
          <w:p w:rsidR="00A954A9" w:rsidRPr="004F5D9C" w:rsidP="004F5D9C" w14:paraId="590FE6C8" w14:textId="77777777">
            <w:pPr>
              <w:pStyle w:val="WAuditH8"/>
              <w:rPr>
                <w:iCs/>
                <w:color w:val="DC6900"/>
              </w:rPr>
            </w:pPr>
            <w:r w:rsidRPr="004F5D9C">
              <w:rPr>
                <w:iCs/>
                <w:color w:val="DC6900"/>
              </w:rPr>
              <w:t xml:space="preserve">Valuation of </w:t>
            </w:r>
            <w:r w:rsidRPr="004F5D9C">
              <w:rPr>
                <w:iCs/>
                <w:color w:val="DC6900"/>
              </w:rPr>
              <w:t>trade receivables</w:t>
            </w:r>
          </w:p>
          <w:p w:rsidR="00A954A9" w:rsidRPr="00A954A9" w:rsidP="004F5D9C" w14:paraId="52155C86" w14:textId="77777777">
            <w:pPr>
              <w:pStyle w:val="WAuditH8"/>
            </w:pPr>
            <w:r w:rsidRPr="00A954A9">
              <w:rPr>
                <w:i/>
              </w:rPr>
              <w:t>Refer to the consolidated financial statements note 4.2</w:t>
            </w:r>
            <w:r w:rsidRPr="00A954A9">
              <w:t>.</w:t>
            </w:r>
          </w:p>
          <w:p w:rsidR="00A954A9" w:rsidRPr="00A954A9" w:rsidP="004F5D9C" w14:paraId="188B60AA" w14:textId="77777777">
            <w:pPr>
              <w:pStyle w:val="WAuditH8"/>
              <w:rPr>
                <w:i/>
              </w:rPr>
            </w:pPr>
            <w:r w:rsidRPr="00A954A9">
              <w:t>Net trade receivables amount to € 896 million, including an impairment provision of € 80 million. The trade receivables include € 26 million long-term trade receivables.</w:t>
            </w:r>
          </w:p>
          <w:p w:rsidR="00A954A9" w:rsidRPr="00A954A9" w:rsidP="004F5D9C" w14:paraId="36082762" w14:textId="77777777">
            <w:pPr>
              <w:pStyle w:val="WAuditH8"/>
              <w:rPr>
                <w:i/>
              </w:rPr>
            </w:pPr>
            <w:r w:rsidRPr="00A954A9">
              <w:t>Trade recei</w:t>
            </w:r>
            <w:r w:rsidRPr="00A954A9">
              <w:t xml:space="preserve">vables are recognised at their anticipated realisable value, which is the original invoiced amount less an estimated valuation allowance. </w:t>
            </w:r>
          </w:p>
          <w:p w:rsidR="00A954A9" w:rsidRPr="00A954A9" w:rsidP="004F5D9C" w14:paraId="71DBBB55" w14:textId="77777777">
            <w:pPr>
              <w:pStyle w:val="WAuditH8"/>
              <w:rPr>
                <w:i/>
              </w:rPr>
            </w:pPr>
            <w:r w:rsidRPr="00A954A9">
              <w:t>Valuation of trade receivables is a key audit matter in the audit due to the size of the trade receivable balance and</w:t>
            </w:r>
            <w:r w:rsidRPr="00A954A9">
              <w:t xml:space="preserve"> the high level of management judgement used in determining the impairment provision.</w:t>
            </w:r>
          </w:p>
        </w:tc>
        <w:tc>
          <w:tcPr>
            <w:tcW w:w="5085" w:type="dxa"/>
          </w:tcPr>
          <w:p w:rsidR="00A954A9" w:rsidRPr="00A954A9" w:rsidP="004F5D9C" w14:paraId="15AE98D4" w14:textId="77777777">
            <w:pPr>
              <w:pStyle w:val="WAuditH8"/>
              <w:rPr>
                <w:i/>
              </w:rPr>
            </w:pPr>
            <w:r w:rsidRPr="00A954A9">
              <w:t>For trade receivables and the management’s estimations for trade receivables impairment provision, our key audit procedures included the following:</w:t>
            </w:r>
          </w:p>
          <w:p w:rsidR="00A954A9" w:rsidRPr="00A954A9" w:rsidP="00793D35" w14:paraId="6629B4AF" w14:textId="77777777">
            <w:pPr>
              <w:pStyle w:val="WAuditH8"/>
              <w:numPr>
                <w:ilvl w:val="0"/>
                <w:numId w:val="5"/>
              </w:numPr>
            </w:pPr>
            <w:r w:rsidRPr="00A954A9">
              <w:t>We obtained trade rece</w:t>
            </w:r>
            <w:r w:rsidRPr="00A954A9">
              <w:t>ivables balance confirmations</w:t>
            </w:r>
          </w:p>
          <w:p w:rsidR="00A954A9" w:rsidRPr="00A954A9" w:rsidP="00793D35" w14:paraId="69059C33" w14:textId="77777777">
            <w:pPr>
              <w:pStyle w:val="WAuditH8"/>
              <w:numPr>
                <w:ilvl w:val="0"/>
                <w:numId w:val="5"/>
              </w:numPr>
            </w:pPr>
            <w:r w:rsidRPr="00A954A9">
              <w:t>We analysed the aging of trade receivables</w:t>
            </w:r>
          </w:p>
          <w:p w:rsidR="00A954A9" w:rsidRPr="00A954A9" w:rsidP="00793D35" w14:paraId="17464FAF" w14:textId="77777777">
            <w:pPr>
              <w:pStyle w:val="WAuditH8"/>
              <w:numPr>
                <w:ilvl w:val="0"/>
                <w:numId w:val="5"/>
              </w:numPr>
              <w:rPr>
                <w:i/>
              </w:rPr>
            </w:pPr>
            <w:r w:rsidRPr="00A954A9">
              <w:t>We obtained a list of long outstanding receivables and assessed the recoverability of these through inquiry with management and by obtaining sufficient corroborative evidence to suppo</w:t>
            </w:r>
            <w:r w:rsidRPr="00A954A9">
              <w:t>rt the conclusions.</w:t>
            </w:r>
          </w:p>
        </w:tc>
      </w:tr>
      <w:tr w14:paraId="5993847D" w14:textId="77777777" w:rsidTr="000A37FF">
        <w:tblPrEx>
          <w:tblW w:w="7331" w:type="dxa"/>
          <w:tblLook w:val="04A0"/>
        </w:tblPrEx>
        <w:tc>
          <w:tcPr>
            <w:tcW w:w="10047" w:type="dxa"/>
            <w:gridSpan w:val="2"/>
          </w:tcPr>
          <w:p w:rsidR="00A954A9" w:rsidRPr="00A954A9" w:rsidP="004F5D9C" w14:paraId="604F343A" w14:textId="77777777">
            <w:pPr>
              <w:pStyle w:val="WAuditH8"/>
            </w:pPr>
            <w:r w:rsidRPr="00A954A9">
              <w:t>We have no key audit matters to report with respect to our audit of the parent company financial statements. There are no significant risks of material misstatement referred to in Article 10(2c) of Regulation (EU) No 537/2014 with resp</w:t>
            </w:r>
            <w:r w:rsidRPr="00A954A9">
              <w:t>ect to the consolidated financial statements or the parent company financial statements.</w:t>
            </w:r>
          </w:p>
        </w:tc>
      </w:tr>
    </w:tbl>
    <w:p w:rsidR="00A954A9" w:rsidRPr="00A954A9" w:rsidP="00A954A9" w14:paraId="0B4E8D13" w14:textId="77777777">
      <w:pPr>
        <w:suppressAutoHyphens/>
        <w:spacing w:after="0" w:line="240" w:lineRule="atLeast"/>
        <w:rPr>
          <w:rFonts w:ascii="Arial" w:eastAsia="Arial" w:hAnsi="Arial" w:cs="Times New Roman"/>
          <w:sz w:val="20"/>
          <w:szCs w:val="20"/>
        </w:rPr>
      </w:pPr>
    </w:p>
    <w:p w:rsidR="00A954A9" w:rsidRPr="00A954A9" w:rsidP="00CD28B6" w14:paraId="5F86C753" w14:textId="77777777">
      <w:pPr>
        <w:pStyle w:val="WAuditH3"/>
      </w:pPr>
      <w:r w:rsidRPr="00A954A9">
        <w:t>Responsibilities of the Board of Directors and the Managing Director for the Financial Statements</w:t>
      </w:r>
    </w:p>
    <w:p w:rsidR="00A954A9" w:rsidRPr="00A954A9" w:rsidP="00A4473A" w14:paraId="5099A88C" w14:textId="77777777">
      <w:pPr>
        <w:pStyle w:val="WAuditBodyText"/>
      </w:pPr>
      <w:r w:rsidRPr="00A954A9">
        <w:t xml:space="preserve">The Board of Directors and the Managing Director are </w:t>
      </w:r>
      <w:r w:rsidRPr="00A954A9">
        <w:t>responsible for the preparation of consolidated financial statements that give a true and fair view in accordance with International Financial Reporting Standards (IFRS) as adopted by the EU, and of financial statements that give a true and fair view in ac</w:t>
      </w:r>
      <w:r w:rsidRPr="00A954A9">
        <w:t xml:space="preserve">cordance </w:t>
      </w:r>
      <w:r w:rsidRPr="00A954A9">
        <w:t>with the laws and regulations governing the preparation of financial statements in Finland and comply with statutory requirements. The Board of Directors and the Managing Director are also responsible for such internal control as they determine is</w:t>
      </w:r>
      <w:r w:rsidRPr="00A954A9">
        <w:t xml:space="preserve"> necessary to enable the preparation of financial statements that are free from material misstatement, whether due to fraud or error. </w:t>
      </w:r>
    </w:p>
    <w:p w:rsidR="00A954A9" w:rsidRPr="00A954A9" w:rsidP="00A4473A" w14:paraId="31E3E431" w14:textId="77777777">
      <w:pPr>
        <w:pStyle w:val="WAuditBodyText"/>
      </w:pPr>
      <w:r w:rsidRPr="00A954A9">
        <w:t>In preparing the financial statements, the Board of Directors and the Managing Director are responsible for assessing the</w:t>
      </w:r>
      <w:r w:rsidRPr="00A954A9">
        <w:t xml:space="preserve"> parent company’s and the group’s ability </w:t>
      </w:r>
      <w:r w:rsidRPr="00A4473A">
        <w:t>to continue as a going concern, disclosing, as applicable, matters relating to going concern and using the going concern basis of accounting. The financial statements are prepared using the going concern basis of a</w:t>
      </w:r>
      <w:r w:rsidRPr="00A4473A">
        <w:t>ccounting unless there is an intention to liquidate the parent company or the group or to cease operations, or there is no realistic alternative but to do so.</w:t>
      </w:r>
      <w:r w:rsidRPr="00A954A9">
        <w:t xml:space="preserve"> </w:t>
      </w:r>
    </w:p>
    <w:p w:rsidR="00A954A9" w:rsidRPr="00A954A9" w:rsidP="00CD28B6" w14:paraId="0EB603C5" w14:textId="77777777">
      <w:pPr>
        <w:pStyle w:val="WAuditH3"/>
      </w:pPr>
      <w:r w:rsidRPr="00A954A9">
        <w:t>Auditor’s Responsibilities for the Audit of the Financial Statements</w:t>
      </w:r>
    </w:p>
    <w:p w:rsidR="00A954A9" w:rsidRPr="00A954A9" w:rsidP="00A4473A" w14:paraId="77BB597B" w14:textId="77777777">
      <w:pPr>
        <w:pStyle w:val="WAuditBodyText"/>
      </w:pPr>
      <w:r w:rsidRPr="00A954A9">
        <w:t>Our objectives are to obtai</w:t>
      </w:r>
      <w:r w:rsidRPr="00A954A9">
        <w:t>n reasonable assurance about whether the financial statements as a whole are free from material misstatement, whether due to fraud or error, and to issue an auditor’s report that includes our opinion. Reasonable assurance is a high level of assurance but i</w:t>
      </w:r>
      <w:r w:rsidRPr="00A954A9">
        <w:t>s not a guarantee that an audit conducted in accordance with good auditing practice will always detect a material misstatement when it exists. Misstatements can arise from fraud or error and are considered material if, individually or in the aggregate, the</w:t>
      </w:r>
      <w:r w:rsidRPr="00A954A9">
        <w:t>y could reasonably be expected to influence the economic decisions of users taken on the basis of these financial statements.</w:t>
      </w:r>
    </w:p>
    <w:p w:rsidR="00A954A9" w:rsidRPr="00A954A9" w:rsidP="00A4473A" w14:paraId="6964B75F" w14:textId="77777777">
      <w:pPr>
        <w:pStyle w:val="WAuditBodyText"/>
      </w:pPr>
      <w:r w:rsidRPr="00A954A9">
        <w:t>As part of an audit in accordance with good auditing practice, we exercise professional judgment and maintain professional skeptic</w:t>
      </w:r>
      <w:r w:rsidRPr="00A954A9">
        <w:t>ism throughout the audit. We also:</w:t>
      </w:r>
    </w:p>
    <w:p w:rsidR="00A954A9" w:rsidRPr="00A954A9" w:rsidP="00FB01FE" w14:paraId="57DBA2BC" w14:textId="77777777">
      <w:pPr>
        <w:pStyle w:val="WAuditH6"/>
      </w:pPr>
      <w:r w:rsidRPr="00A954A9">
        <w:t>Identify and assess the risks of material misstatement of the financial statements, whether due to fraud or error, design and perform audit procedures responsive to those risks, and obtain audit evidence that is sufficien</w:t>
      </w:r>
      <w:r w:rsidRPr="00A954A9">
        <w:t xml:space="preserve">t and appropriate to provide a basis for our opinion. The risk of not detecting a material misstatement resulting from fraud is higher than for one </w:t>
      </w:r>
      <w:r w:rsidRPr="00A954A9">
        <w:t>resulting from error, as fraud may involve collusion, forgery, intentional omissions, misrepresentations, or</w:t>
      </w:r>
      <w:r w:rsidRPr="00A954A9">
        <w:t xml:space="preserve"> the override of internal control.</w:t>
      </w:r>
    </w:p>
    <w:p w:rsidR="00A954A9" w:rsidRPr="00A954A9" w:rsidP="00FB01FE" w14:paraId="1FFEDD5E" w14:textId="77777777">
      <w:pPr>
        <w:pStyle w:val="WAuditH6"/>
      </w:pPr>
      <w:r w:rsidRPr="00A954A9">
        <w:t>Obtain an understanding of internal control relevant to the audit in order to design audit procedures that are appropriate in the circumstances, but not for the purpose of expressing an opinion on the effectiveness of the</w:t>
      </w:r>
      <w:r w:rsidRPr="00A954A9">
        <w:t xml:space="preserve"> parent company’s or the group’s internal control. </w:t>
      </w:r>
    </w:p>
    <w:p w:rsidR="00A954A9" w:rsidRPr="00A954A9" w:rsidP="00FB01FE" w14:paraId="0F7F152D" w14:textId="77777777">
      <w:pPr>
        <w:pStyle w:val="WAuditH6"/>
      </w:pPr>
      <w:r w:rsidRPr="00A954A9">
        <w:t>Evaluate the appropriateness of accounting policies used and the reasonableness of accounting estimates and related disclosures made by management.</w:t>
      </w:r>
    </w:p>
    <w:p w:rsidR="00A954A9" w:rsidRPr="00A954A9" w:rsidP="00FB01FE" w14:paraId="195C1167" w14:textId="77777777">
      <w:pPr>
        <w:pStyle w:val="WAuditH6"/>
      </w:pPr>
      <w:r w:rsidRPr="00A954A9">
        <w:t>Conclude on the appropriateness of the Board of Director</w:t>
      </w:r>
      <w:r w:rsidRPr="00A954A9">
        <w:t>s’ and the Managing Director’s use of the going concern basis of accounting and based on the audit evidence obtained, whether a material uncertainty exists related to events or conditions that may cast significant doubt on the parent company’s or the group</w:t>
      </w:r>
      <w:r w:rsidRPr="00A954A9">
        <w:t>’s ability to continue as a going concern. If we conclude that a material uncertainty exists, we are required to draw attention in our auditor’s report to the related disclosures in the financial statements or, if such disclosures are inadequate, to modify</w:t>
      </w:r>
      <w:r w:rsidRPr="00A954A9">
        <w:t xml:space="preserve"> our opinion. Our conclusions are based on the audit evidence obtained up to the date of our auditor’s report. However, future events or conditions may cause the parent company or the group to cease to continue as a going concern.</w:t>
      </w:r>
    </w:p>
    <w:p w:rsidR="00A954A9" w:rsidRPr="00A954A9" w:rsidP="00FB01FE" w14:paraId="7C145CC7" w14:textId="77777777">
      <w:pPr>
        <w:pStyle w:val="WAuditH6"/>
      </w:pPr>
      <w:r w:rsidRPr="00A954A9">
        <w:t>Evaluate the overall pres</w:t>
      </w:r>
      <w:r w:rsidRPr="00A954A9">
        <w:t>entation, structure and content of the financial statements, including the disclosures, and whether the financial statements represent the underlying transactions and events so that the financial statements give a true and fair view.</w:t>
      </w:r>
    </w:p>
    <w:p w:rsidR="00A954A9" w:rsidRPr="00A954A9" w:rsidP="00FB01FE" w14:paraId="34383F9F" w14:textId="77777777">
      <w:pPr>
        <w:pStyle w:val="WAuditH6"/>
      </w:pPr>
      <w:r w:rsidRPr="00A954A9">
        <w:t>Obtain sufficient appr</w:t>
      </w:r>
      <w:r w:rsidRPr="00A954A9">
        <w:t>opriate audit evidence regarding the financial information of the entities or business activities within the group to express an opinion on the consolidated financial statements. We are responsible for the direction, supervision and performance of the grou</w:t>
      </w:r>
      <w:r w:rsidRPr="00A954A9">
        <w:t>p audit. We remain solely responsible for our audit opinion.</w:t>
      </w:r>
    </w:p>
    <w:p w:rsidR="00A954A9" w:rsidRPr="00A954A9" w:rsidP="00A4473A" w14:paraId="6CED7E04" w14:textId="77777777">
      <w:pPr>
        <w:pStyle w:val="WAuditBodyText"/>
      </w:pPr>
      <w:r w:rsidRPr="00A954A9">
        <w:t xml:space="preserve">We communicate with those charged with governance regarding, among other matters, the planned scope and timing of the audit and significant audit findings, including any significant deficiencies </w:t>
      </w:r>
      <w:r w:rsidRPr="00A954A9">
        <w:t>in internal control that we identify during our audit.</w:t>
      </w:r>
    </w:p>
    <w:p w:rsidR="00A954A9" w:rsidRPr="00A954A9" w:rsidP="00A4473A" w14:paraId="6E0855B0" w14:textId="77777777">
      <w:pPr>
        <w:pStyle w:val="WAuditBodyText"/>
      </w:pPr>
      <w:r w:rsidRPr="00A954A9">
        <w:t xml:space="preserve">We also provide those charged with governance with a statement that we have complied with relevant ethical requirements regarding independence, and to communicate with them all relationships and other </w:t>
      </w:r>
      <w:r w:rsidRPr="00A954A9">
        <w:t>matters that may reasonably be thought to bear on our independence, and where applicable, related safeguards.</w:t>
      </w:r>
    </w:p>
    <w:p w:rsidR="009B05DB" w:rsidP="00A4473A" w14:paraId="50CC330D" w14:textId="77777777">
      <w:pPr>
        <w:pStyle w:val="WAuditBodyText"/>
      </w:pPr>
      <w:r w:rsidRPr="00A954A9">
        <w:t>From the matters communicated with those charged with governance, we determine those matters that were of most significance in the audit of the fi</w:t>
      </w:r>
      <w:r w:rsidRPr="00A954A9">
        <w:t>nancial statements of the current period and are therefore the key audit matters. We describe these matters in our auditor’s report unless law or regulation precludes public disclosure about the matter or when, in extremely rare circumstances, we determine</w:t>
      </w:r>
      <w:r w:rsidRPr="00A954A9">
        <w:t xml:space="preserve"> that a matter should not be communicated in our report because the adverse consequences of doing so would reasonably be expected to outweigh the public interest benefits of such communication.</w:t>
      </w:r>
    </w:p>
    <w:p w:rsidR="00A954A9" w:rsidRPr="00A954A9" w:rsidP="00CD28B6" w14:paraId="44CF6C23" w14:textId="77777777">
      <w:pPr>
        <w:pStyle w:val="WAuditH2"/>
      </w:pPr>
      <w:r w:rsidRPr="00A954A9">
        <w:t xml:space="preserve">Other Reporting Requirements </w:t>
      </w:r>
    </w:p>
    <w:p w:rsidR="00A954A9" w:rsidRPr="00A954A9" w:rsidP="00CD28B6" w14:paraId="64746290" w14:textId="77777777">
      <w:pPr>
        <w:pStyle w:val="WAuditH3"/>
      </w:pPr>
      <w:r w:rsidRPr="00A954A9">
        <w:t>Appointment</w:t>
      </w:r>
    </w:p>
    <w:p w:rsidR="00A954A9" w:rsidRPr="00A954A9" w:rsidP="00A4473A" w14:paraId="5FF62512" w14:textId="77777777">
      <w:pPr>
        <w:pStyle w:val="WAuditBodyText"/>
      </w:pPr>
      <w:r w:rsidRPr="00A954A9">
        <w:t xml:space="preserve">We were first </w:t>
      </w:r>
      <w:r w:rsidRPr="00A954A9">
        <w:t>appointed as auditors by the annual general meeting on 2 March 2017.  Our appointment represents a total period of uninterrupted engagement of five years.</w:t>
      </w:r>
    </w:p>
    <w:p w:rsidR="00A954A9" w:rsidRPr="00A954A9" w:rsidP="00CD28B6" w14:paraId="00F91FED" w14:textId="77777777">
      <w:pPr>
        <w:pStyle w:val="WAuditH3"/>
      </w:pPr>
      <w:r w:rsidRPr="00A954A9">
        <w:t xml:space="preserve">Other Information </w:t>
      </w:r>
    </w:p>
    <w:p w:rsidR="00A954A9" w:rsidRPr="00A954A9" w:rsidP="00A4473A" w14:paraId="704A684A" w14:textId="77777777">
      <w:pPr>
        <w:pStyle w:val="WAuditBodyText"/>
      </w:pPr>
      <w:r w:rsidRPr="00A954A9">
        <w:t>The Board of Directors and the Managing Director are responsible for the other inf</w:t>
      </w:r>
      <w:r w:rsidRPr="00A954A9">
        <w:t xml:space="preserve">ormation. The other information comprises the report of the Board of Directors and the information included in the Annual Report but does not include the financial statements and our auditor’s report thereon. </w:t>
      </w:r>
    </w:p>
    <w:p w:rsidR="00A954A9" w:rsidRPr="00A954A9" w:rsidP="00A4473A" w14:paraId="718FCAA1" w14:textId="77777777">
      <w:pPr>
        <w:pStyle w:val="WAuditBodyText"/>
      </w:pPr>
      <w:r w:rsidRPr="00A954A9">
        <w:t>Our opinion on the financial statements does n</w:t>
      </w:r>
      <w:r w:rsidRPr="00A954A9">
        <w:t>ot cover the other information.</w:t>
      </w:r>
    </w:p>
    <w:p w:rsidR="00A954A9" w:rsidRPr="00A954A9" w:rsidP="00A4473A" w14:paraId="345D6F83" w14:textId="77777777">
      <w:pPr>
        <w:pStyle w:val="WAuditBodyText"/>
      </w:pPr>
      <w:r w:rsidRPr="00A954A9">
        <w:t xml:space="preserve">In connection with our audit of the financial statements, our responsibility is to read the other information and, in doing so, consider whether the other information is materially inconsistent with the financial statements </w:t>
      </w:r>
      <w:r w:rsidRPr="00A954A9">
        <w:t xml:space="preserve">or our knowledge obtained in the audit, or otherwise appears to be materially misstated. With respect to the report of the Board of Directors, our responsibility also includes considering </w:t>
      </w:r>
      <w:r w:rsidRPr="00A4473A">
        <w:t>whether the report of the Board of Directors has been prepared in ac</w:t>
      </w:r>
      <w:r w:rsidRPr="00A4473A">
        <w:t>cordance with the applicable laws and regulations.</w:t>
      </w:r>
    </w:p>
    <w:p w:rsidR="00A954A9" w:rsidRPr="00A954A9" w:rsidP="00A4473A" w14:paraId="7F8BB327" w14:textId="77777777">
      <w:pPr>
        <w:pStyle w:val="WAuditBodyText"/>
      </w:pPr>
      <w:r w:rsidRPr="00A954A9">
        <w:t>In our opinion</w:t>
      </w:r>
    </w:p>
    <w:p w:rsidR="00A954A9" w:rsidRPr="00A954A9" w:rsidP="00FB01FE" w14:paraId="2D64D2B5" w14:textId="77777777">
      <w:pPr>
        <w:pStyle w:val="WAuditH6"/>
      </w:pPr>
      <w:r w:rsidRPr="00A954A9">
        <w:t>the information in the report of the Board of Directors is consistent with the information in the financial statements</w:t>
      </w:r>
    </w:p>
    <w:p w:rsidR="00A954A9" w:rsidRPr="00A954A9" w:rsidP="00FB01FE" w14:paraId="0FF44731" w14:textId="77777777">
      <w:pPr>
        <w:pStyle w:val="WAuditH6"/>
      </w:pPr>
      <w:r w:rsidRPr="00A954A9">
        <w:t xml:space="preserve">the report of the Board of Directors has been prepared in </w:t>
      </w:r>
      <w:r w:rsidRPr="00A954A9">
        <w:t>accordance with the applicable laws and regulations.</w:t>
      </w:r>
    </w:p>
    <w:p w:rsidR="00A954A9" w:rsidRPr="00A954A9" w:rsidP="00A4473A" w14:paraId="295BE9AF" w14:textId="77777777">
      <w:pPr>
        <w:pStyle w:val="WAuditBodyText"/>
      </w:pPr>
      <w:r w:rsidRPr="00A954A9">
        <w:t>If, based on the work we have performed, we conclude that there is a material misstatement of the other information, we are required to report that fact. We have nothing to report in this regard.</w:t>
      </w:r>
    </w:p>
    <w:p w:rsidR="00A954A9" w:rsidRPr="00A954A9" w:rsidP="00CD28B6" w14:paraId="4620B1F8" w14:textId="77777777">
      <w:pPr>
        <w:pStyle w:val="WAuditH3"/>
      </w:pPr>
      <w:r w:rsidRPr="00A954A9">
        <w:t>Other S</w:t>
      </w:r>
      <w:r w:rsidRPr="00A954A9">
        <w:t>tatements</w:t>
      </w:r>
    </w:p>
    <w:p w:rsidR="00A954A9" w:rsidRPr="00A954A9" w:rsidP="00A4473A" w14:paraId="6F58574D" w14:textId="77777777">
      <w:pPr>
        <w:pStyle w:val="WAuditBodyText"/>
      </w:pPr>
      <w:r w:rsidRPr="00A954A9">
        <w:t>We support that the financial statements should be adopted. The proposal by the Board of Directors regarding the use of the distributable funds is in compliance with the Limited Liability Companies Act. We support that the Members of the Board of</w:t>
      </w:r>
      <w:r w:rsidRPr="00A954A9">
        <w:t xml:space="preserve"> Directors and the President and CEO should be discharged from liability for the financial period audited by us.</w:t>
      </w:r>
    </w:p>
    <w:p w:rsidR="00A954A9" w:rsidRPr="00A954A9" w:rsidP="00A4473A" w14:paraId="2B1A0781" w14:textId="77777777">
      <w:pPr>
        <w:pStyle w:val="WAuditBodyText"/>
      </w:pPr>
    </w:p>
    <w:p w:rsidR="00A954A9" w:rsidRPr="00A954A9" w:rsidP="00A4473A" w14:paraId="209EB44F" w14:textId="77777777">
      <w:pPr>
        <w:pStyle w:val="WAuditBodyText"/>
      </w:pPr>
      <w:r w:rsidRPr="00A954A9">
        <w:t>Helsinki 4 February 2022</w:t>
      </w:r>
    </w:p>
    <w:p w:rsidR="00A954A9" w:rsidRPr="00A954A9" w:rsidP="00A4473A" w14:paraId="03780961" w14:textId="77777777">
      <w:pPr>
        <w:pStyle w:val="WAuditBodyText"/>
      </w:pPr>
      <w:r w:rsidRPr="00A954A9">
        <w:rPr>
          <w:b/>
        </w:rPr>
        <w:t>PricewaterhouseCoopers Oy</w:t>
      </w:r>
      <w:r w:rsidRPr="00A954A9">
        <w:br/>
        <w:t>Authorised Public Accountants</w:t>
      </w:r>
    </w:p>
    <w:p w:rsidR="00A954A9" w:rsidRPr="00A954A9" w:rsidP="00A4473A" w14:paraId="2F0C7713" w14:textId="77777777">
      <w:pPr>
        <w:pStyle w:val="WAuditBodyText"/>
      </w:pPr>
    </w:p>
    <w:p w:rsidR="00A954A9" w:rsidRPr="00A954A9" w:rsidP="00793D35" w14:paraId="0C40ED85" w14:textId="77777777">
      <w:pPr>
        <w:pStyle w:val="WAuditBodyText"/>
      </w:pPr>
      <w:r w:rsidRPr="00A954A9">
        <w:t>Merja Lindh</w:t>
      </w:r>
      <w:r w:rsidRPr="00A954A9">
        <w:rPr>
          <w:highlight w:val="yellow"/>
        </w:rPr>
        <w:br/>
      </w:r>
      <w:r w:rsidRPr="00A954A9">
        <w:t>Authorised Public Accountant (KHT)</w:t>
      </w:r>
    </w:p>
    <w:p w:rsidR="00A53643" w:rsidRPr="00A53643" w:rsidP="00E55F0B" w14:paraId="3501AAA2" w14:textId="77777777">
      <w:pPr>
        <w:pStyle w:val="WAudit2H1"/>
        <w:pageBreakBefore/>
      </w:pPr>
      <w:bookmarkStart w:id="1534" w:name="AmebaBeginning"/>
      <w:bookmarkEnd w:id="1534"/>
      <w:bookmarkStart w:id="1535" w:name="RG_MARKER_8764"/>
      <w:r w:rsidRPr="00A53643">
        <w:t xml:space="preserve">Independent Auditor’s Reasonable Assurance Report on Wärtsilä </w:t>
      </w:r>
      <w:bookmarkEnd w:id="1535"/>
      <w:r w:rsidRPr="00A53643">
        <w:t>Oyj’s</w:t>
      </w:r>
      <w:r w:rsidRPr="00A53643">
        <w:t xml:space="preserve"> ESEF Financial Statements (Translation of the Finnish Original)</w:t>
      </w:r>
    </w:p>
    <w:p w:rsidR="00A53643" w:rsidRPr="009B2150" w:rsidP="00C20A21" w14:paraId="1BFBE803" w14:textId="77777777">
      <w:pPr>
        <w:pStyle w:val="WAudit2BodyText"/>
      </w:pPr>
      <w:r w:rsidRPr="009B2150">
        <w:t xml:space="preserve">To the </w:t>
      </w:r>
      <w:r w:rsidRPr="00F6624F">
        <w:t>Management</w:t>
      </w:r>
      <w:r w:rsidRPr="009B2150">
        <w:t xml:space="preserve"> of </w:t>
      </w:r>
      <w:r>
        <w:t>Wärtsilä</w:t>
      </w:r>
      <w:r w:rsidRPr="009B2150">
        <w:t xml:space="preserve"> </w:t>
      </w:r>
      <w:r w:rsidRPr="009B2150">
        <w:t>Oyj</w:t>
      </w:r>
    </w:p>
    <w:p w:rsidR="00A53643" w:rsidRPr="009B2150" w:rsidP="00C20A21" w14:paraId="2A0088CB" w14:textId="77777777">
      <w:pPr>
        <w:pStyle w:val="WAudit2BodyText"/>
        <w:spacing w:before="120"/>
      </w:pPr>
      <w:r w:rsidRPr="009B2150">
        <w:br/>
        <w:t xml:space="preserve">We have been engaged by the Management of </w:t>
      </w:r>
      <w:r>
        <w:t>Wärtsilä</w:t>
      </w:r>
      <w:r w:rsidRPr="009B2150">
        <w:t xml:space="preserve"> </w:t>
      </w:r>
      <w:r w:rsidRPr="009B2150">
        <w:t>Oyj</w:t>
      </w:r>
      <w:r w:rsidRPr="009B2150">
        <w:t xml:space="preserve"> (business identity code </w:t>
      </w:r>
      <w:r w:rsidRPr="009F7D77">
        <w:t>0128631-1</w:t>
      </w:r>
      <w:r w:rsidRPr="009B2150">
        <w:t>) (hereinafter also “the Company”) to perform a reasonable assurance engagement on the Company’s consolidated IFRS financial statements for the financial year 1.1.-31.12.2021 in European Single Electronic Format (“ESEF fin</w:t>
      </w:r>
      <w:r w:rsidRPr="009B2150">
        <w:t>ancial statements”). </w:t>
      </w:r>
    </w:p>
    <w:p w:rsidR="00A53643" w:rsidRPr="00A53643" w:rsidP="00E55F0B" w14:paraId="718C9515" w14:textId="77777777">
      <w:pPr>
        <w:pStyle w:val="WAudit2H2"/>
      </w:pPr>
      <w:r w:rsidRPr="00A53643">
        <w:t>Management’s Responsibility for the ESEF Financial Statements </w:t>
      </w:r>
    </w:p>
    <w:p w:rsidR="00A53643" w:rsidRPr="009B2150" w:rsidP="00C20A21" w14:paraId="39402F74" w14:textId="77777777">
      <w:pPr>
        <w:pStyle w:val="WAudit2BodyText"/>
      </w:pPr>
      <w:r w:rsidRPr="009B2150">
        <w:t xml:space="preserve">The Management of </w:t>
      </w:r>
      <w:r>
        <w:t>Wärtsilä</w:t>
      </w:r>
      <w:r w:rsidRPr="009B2150">
        <w:t xml:space="preserve"> </w:t>
      </w:r>
      <w:r w:rsidRPr="009B2150">
        <w:t>Oyj</w:t>
      </w:r>
      <w:r w:rsidRPr="009B2150">
        <w:t xml:space="preserve"> is responsible for preparing the ESEF financial statements so that they comply with the requirements as specified in the Commission Delegate</w:t>
      </w:r>
      <w:r w:rsidRPr="009B2150">
        <w:t>d Regulation (EU) 2019/815 of 17 December 2018 (“ESEF requirements”). This responsibility includes the design, implementation and maintenance of internal control relevant to the preparation of ESEF financial statements that are free from material noncompli</w:t>
      </w:r>
      <w:r w:rsidRPr="009B2150">
        <w:t>ance with the ESEF requirements, whether due to fraud or error. </w:t>
      </w:r>
    </w:p>
    <w:p w:rsidR="00A53643" w:rsidRPr="00A53643" w:rsidP="00E55F0B" w14:paraId="6E695379" w14:textId="77777777">
      <w:pPr>
        <w:pStyle w:val="WAudit2H2"/>
      </w:pPr>
      <w:r w:rsidRPr="00A53643">
        <w:t>Our Independence and Quality C</w:t>
      </w:r>
      <w:r>
        <w:t>ontrol</w:t>
      </w:r>
    </w:p>
    <w:p w:rsidR="00A53643" w:rsidP="00C20A21" w14:paraId="59B43D18" w14:textId="77777777">
      <w:pPr>
        <w:pStyle w:val="WAudit2BodyText"/>
      </w:pPr>
      <w:r>
        <w:rPr>
          <w:noProof/>
        </w:rPr>
        <w:drawing>
          <wp:anchor distT="0" distB="0" distL="114300" distR="114300" simplePos="0" relativeHeight="251676672" behindDoc="0" locked="0" layoutInCell="1" allowOverlap="1">
            <wp:simplePos x="0" y="0"/>
            <wp:positionH relativeFrom="page">
              <wp:posOffset>450215</wp:posOffset>
            </wp:positionH>
            <wp:positionV relativeFrom="page">
              <wp:posOffset>7002780</wp:posOffset>
            </wp:positionV>
            <wp:extent cx="4658400" cy="414000"/>
            <wp:effectExtent l="0" t="0" r="0" b="0"/>
            <wp:wrapNone/>
            <wp:docPr id="1533946009" name="Picture 2"/>
            <wp:cNvGraphicFramePr/>
            <a:graphic xmlns:a="http://schemas.openxmlformats.org/drawingml/2006/main">
              <a:graphicData uri="http://schemas.openxmlformats.org/drawingml/2006/picture">
                <pic:pic xmlns:pic="http://schemas.openxmlformats.org/drawingml/2006/picture">
                  <pic:nvPicPr>
                    <pic:cNvPr id="789300645" name="Picture 2"/>
                    <pic:cNvPicPr/>
                  </pic:nvPicPr>
                  <pic:blipFill>
                    <a:blip xmlns:r="http://schemas.openxmlformats.org/officeDocument/2006/relationships" r:embed="rId85" cstate="print">
                      <a:extLst>
                        <a:ext xmlns:a="http://schemas.openxmlformats.org/drawingml/2006/main" uri="{28A0092B-C50C-407E-A947-70E740481C1C}">
                          <a14:useLocalDpi xmlns:a14="http://schemas.microsoft.com/office/drawing/2010/main" val="0"/>
                        </a:ext>
                      </a:extLst>
                    </a:blip>
                    <a:stretch>
                      <a:fillRect/>
                    </a:stretch>
                  </pic:blipFill>
                  <pic:spPr>
                    <a:xfrm>
                      <a:off x="0" y="0"/>
                      <a:ext cx="4658400" cy="414000"/>
                    </a:xfrm>
                    <a:prstGeom prst="rect">
                      <a:avLst/>
                    </a:prstGeom>
                  </pic:spPr>
                </pic:pic>
              </a:graphicData>
            </a:graphic>
            <wp14:sizeRelH relativeFrom="margin">
              <wp14:pctWidth>0</wp14:pctWidth>
            </wp14:sizeRelH>
            <wp14:sizeRelV relativeFrom="margin">
              <wp14:pctHeight>0</wp14:pctHeight>
            </wp14:sizeRelV>
          </wp:anchor>
        </w:drawing>
      </w:r>
      <w:r w:rsidRPr="009B2150">
        <w:t>We have complied with the independence and other ethical requirements of the International Code of Ethics for Professional Accountants (including Interna</w:t>
      </w:r>
      <w:r w:rsidRPr="009B2150">
        <w:t xml:space="preserve">tional Independence Standards) issued by the International Ethics Standards Board for Accountants (IESBA Code), which is founded on fundamental principles of integrity, objectivity, professional competence and due care, confidentiality and professional </w:t>
      </w:r>
      <w:r w:rsidRPr="009B2150">
        <w:t>beh</w:t>
      </w:r>
      <w:r w:rsidRPr="009B2150">
        <w:t>avior</w:t>
      </w:r>
      <w:r w:rsidRPr="009B2150">
        <w:t>.</w:t>
      </w:r>
      <w:r w:rsidRPr="009B2150">
        <w:br/>
      </w:r>
      <w:r w:rsidRPr="009B2150">
        <w:br/>
        <w:t xml:space="preserve">Our firm applies International Standard on Quality Control 1 and accordingly </w:t>
      </w:r>
      <w:r w:rsidRPr="009B2150">
        <w:t>maintains a comprehensive system of quality control including documented policies</w:t>
      </w:r>
      <w:r>
        <w:br w:type="column"/>
      </w:r>
      <w:r w:rsidRPr="009B2150">
        <w:t>and procedures regarding compliance with ethical requirements, professional standards and</w:t>
      </w:r>
      <w:r w:rsidRPr="009B2150">
        <w:t xml:space="preserve"> applicable legal and regulatory requirements.</w:t>
      </w:r>
    </w:p>
    <w:p w:rsidR="00A53643" w:rsidRPr="00A53643" w:rsidP="00E55F0B" w14:paraId="7298B089" w14:textId="77777777">
      <w:pPr>
        <w:pStyle w:val="WAudit2H2"/>
      </w:pPr>
      <w:r w:rsidRPr="00A53643">
        <w:t>Our Responsib</w:t>
      </w:r>
      <w:r>
        <w:t>ility</w:t>
      </w:r>
    </w:p>
    <w:p w:rsidR="00A53643" w:rsidRPr="009B2150" w:rsidP="00C20A21" w14:paraId="66B96A68" w14:textId="77777777">
      <w:pPr>
        <w:pStyle w:val="WAudit2BodyText"/>
      </w:pPr>
      <w:r w:rsidRPr="009B2150">
        <w:t>Our respon</w:t>
      </w:r>
      <w:r w:rsidRPr="009B2150">
        <w:rPr>
          <w:shd w:val="clear" w:color="auto" w:fill="FFFFFF"/>
        </w:rPr>
        <w:t xml:space="preserve">sibility is to express an opinion on the ESEF financial statements based on the procedures </w:t>
      </w:r>
      <w:r w:rsidRPr="009B2150">
        <w:t>we have performed and the evidence we have obtained. </w:t>
      </w:r>
    </w:p>
    <w:p w:rsidR="00A53643" w:rsidRPr="009B2150" w:rsidP="00C20A21" w14:paraId="723414AF" w14:textId="77777777">
      <w:pPr>
        <w:pStyle w:val="WAudit2BodyText"/>
      </w:pPr>
    </w:p>
    <w:p w:rsidR="00A53643" w:rsidRPr="009B2150" w:rsidP="00C20A21" w14:paraId="530A75E9" w14:textId="77777777">
      <w:pPr>
        <w:pStyle w:val="WAudit2BodyText"/>
      </w:pPr>
      <w:r w:rsidRPr="009B2150">
        <w:t>We conducted our reasonable assura</w:t>
      </w:r>
      <w:r w:rsidRPr="009B2150">
        <w:t xml:space="preserve">nce engagement in accordance with the International Standard on Assurance Engagements (ISAE) 3000 (Revised) </w:t>
      </w:r>
      <w:r w:rsidRPr="009B2150">
        <w:rPr>
          <w:i/>
          <w:iCs/>
        </w:rPr>
        <w:t>Assurance Engagements Other than Audits or Reviews of Historical Financial Information</w:t>
      </w:r>
      <w:r w:rsidRPr="009B2150">
        <w:t>. That standard requires that we plan and perform this engagem</w:t>
      </w:r>
      <w:r w:rsidRPr="009B2150">
        <w:t>ent to obtain reasonable assurance about whether the ESEF financial statements are free from material noncompliance with the ESEF requirements. </w:t>
      </w:r>
    </w:p>
    <w:p w:rsidR="00A53643" w:rsidRPr="009B2150" w:rsidP="00C20A21" w14:paraId="535A3AB1" w14:textId="77777777">
      <w:pPr>
        <w:pStyle w:val="WAudit2BodyText"/>
      </w:pPr>
    </w:p>
    <w:p w:rsidR="00A53643" w:rsidRPr="009B2150" w:rsidP="00C20A21" w14:paraId="478A8A57" w14:textId="77777777">
      <w:pPr>
        <w:pStyle w:val="WAudit2BodyText"/>
      </w:pPr>
      <w:r w:rsidRPr="009B2150">
        <w:t>A reasonable assurance engagement in accordance with ISAE 3000 (Revised) involves performing procedures to obt</w:t>
      </w:r>
      <w:r w:rsidRPr="009B2150">
        <w:t>ain evidence about the ESEF financial statements compliance with the ESEF requirements. The procedures selected depend on the auditor’s judgment, including the assessment of the risks of material noncompliance of the ESEF financial statements with the ESEF</w:t>
      </w:r>
      <w:r w:rsidRPr="009B2150">
        <w:t xml:space="preserve"> requirements, whether due to fraud or error. In making those risk assessments, we considered internal control relevant to the Company’s preparation of the ESEF financial statements.</w:t>
      </w:r>
    </w:p>
    <w:p w:rsidR="00A53643" w:rsidRPr="009B2150" w:rsidP="00C20A21" w14:paraId="28EA16FB" w14:textId="77777777">
      <w:pPr>
        <w:pStyle w:val="WAudit2BodyText"/>
      </w:pPr>
    </w:p>
    <w:p w:rsidR="00A53643" w:rsidP="00C20A21" w14:paraId="378059D3" w14:textId="77777777">
      <w:pPr>
        <w:pStyle w:val="WAudit2BodyText"/>
      </w:pPr>
      <w:r w:rsidRPr="009B2150">
        <w:t>We believe that the evidence we have obtained is sufficient and appropri</w:t>
      </w:r>
      <w:r w:rsidRPr="009B2150">
        <w:t>ate to provide a basis for our opinion.</w:t>
      </w:r>
    </w:p>
    <w:p w:rsidR="00A53643" w:rsidRPr="009B2150" w:rsidP="00E55F0B" w14:paraId="5202C7CC" w14:textId="77777777">
      <w:pPr>
        <w:pStyle w:val="WAudit2H2"/>
      </w:pPr>
      <w:r w:rsidRPr="009B2150">
        <w:t>Opinion</w:t>
      </w:r>
    </w:p>
    <w:p w:rsidR="00A53643" w:rsidRPr="009B2150" w:rsidP="00C20A21" w14:paraId="4FB7B646" w14:textId="77777777">
      <w:pPr>
        <w:pStyle w:val="WAudit2BodyText"/>
      </w:pPr>
      <w:r w:rsidRPr="009B2150">
        <w:t xml:space="preserve">In our opinion, </w:t>
      </w:r>
      <w:r>
        <w:t>Wärtsilä</w:t>
      </w:r>
      <w:r w:rsidRPr="009B2150">
        <w:t xml:space="preserve"> </w:t>
      </w:r>
      <w:r w:rsidRPr="009B2150">
        <w:t>Oyj</w:t>
      </w:r>
      <w:r w:rsidRPr="009B2150">
        <w:t xml:space="preserve"> ESEF financial statements for the financial year ended 31.12.2021 comply, in all material respects, with the ESEF requirements.  </w:t>
      </w:r>
    </w:p>
    <w:p w:rsidR="00A53643" w:rsidRPr="009B2150" w:rsidP="00C20A21" w14:paraId="55D87B1D" w14:textId="77777777">
      <w:pPr>
        <w:pStyle w:val="WAudit2BodyText"/>
      </w:pPr>
    </w:p>
    <w:p w:rsidR="00A53643" w:rsidRPr="009B2150" w:rsidP="00C20A21" w14:paraId="6CF7DFA6" w14:textId="77777777">
      <w:pPr>
        <w:pStyle w:val="WAudit2BodyText"/>
      </w:pPr>
      <w:r w:rsidRPr="009B2150">
        <w:t>Our reasonable assurance report has been prepare</w:t>
      </w:r>
      <w:r w:rsidRPr="009B2150">
        <w:t>d in accordance with the terms</w:t>
      </w:r>
      <w:r w:rsidR="004E6AAE">
        <w:br w:type="column"/>
      </w:r>
      <w:r w:rsidRPr="009B2150">
        <w:t xml:space="preserve">of our engagement. We do not accept, or assume responsibility to anyone else, except for </w:t>
      </w:r>
      <w:r>
        <w:t>Wärtsilä</w:t>
      </w:r>
      <w:r w:rsidRPr="009B2150">
        <w:t xml:space="preserve"> </w:t>
      </w:r>
      <w:r w:rsidRPr="009B2150">
        <w:t>Oyj</w:t>
      </w:r>
      <w:r w:rsidRPr="009B2150">
        <w:t xml:space="preserve"> for our work, for this report, or for the opinion that we have formed.</w:t>
      </w:r>
    </w:p>
    <w:p w:rsidR="00A53643" w:rsidP="00D33EEC" w14:paraId="7C4BD485" w14:textId="2E036706">
      <w:pPr>
        <w:pStyle w:val="WAudit2BodyText"/>
      </w:pPr>
    </w:p>
    <w:p w:rsidR="00D33EEC" w:rsidRPr="00D33EEC" w:rsidP="00D33EEC" w14:paraId="5394209A" w14:textId="77777777">
      <w:pPr>
        <w:pStyle w:val="WAudit2BodyText"/>
      </w:pPr>
    </w:p>
    <w:p w:rsidR="00A53643" w:rsidRPr="00AE3898" w:rsidP="00D33EEC" w14:paraId="0424DDD8" w14:textId="77777777">
      <w:pPr>
        <w:pStyle w:val="WAudit2BodyText"/>
        <w:spacing w:after="180"/>
      </w:pPr>
      <w:r w:rsidRPr="00AE3898">
        <w:t>Helsinki 4 February 2022</w:t>
      </w:r>
    </w:p>
    <w:p w:rsidR="00A53643" w:rsidRPr="00AE3898" w:rsidP="00AE3898" w14:paraId="155F4DC3" w14:textId="77777777">
      <w:pPr>
        <w:pStyle w:val="WAudit2BodyText"/>
        <w:rPr>
          <w:b/>
          <w:bCs/>
        </w:rPr>
      </w:pPr>
      <w:r w:rsidRPr="00AE3898">
        <w:rPr>
          <w:b/>
          <w:bCs/>
        </w:rPr>
        <w:t>PricewaterhouseCoopers Oy</w:t>
      </w:r>
    </w:p>
    <w:p w:rsidR="00A53643" w:rsidRPr="00AE3898" w:rsidP="00AE3898" w14:paraId="0436DE5A" w14:textId="77777777">
      <w:pPr>
        <w:pStyle w:val="WAudit2BodyText"/>
      </w:pPr>
      <w:r w:rsidRPr="00AE3898">
        <w:t>Authorised Public Accountants</w:t>
      </w:r>
    </w:p>
    <w:p w:rsidR="004832DE" w:rsidRPr="00D33EEC" w:rsidP="00D33EEC" w14:paraId="47FCD220" w14:textId="77777777">
      <w:pPr>
        <w:pStyle w:val="WAudit2BodyText"/>
      </w:pPr>
    </w:p>
    <w:p w:rsidR="005F14DD" w:rsidRPr="00D33EEC" w:rsidP="00D33EEC" w14:paraId="4915EEA4" w14:textId="77777777">
      <w:pPr>
        <w:pStyle w:val="WAudit2BodyText"/>
      </w:pPr>
    </w:p>
    <w:p w:rsidR="005F14DD" w:rsidRPr="00D33EEC" w:rsidP="00D33EEC" w14:paraId="6970DB53" w14:textId="77777777">
      <w:pPr>
        <w:pStyle w:val="WAudit2BodyText"/>
      </w:pPr>
    </w:p>
    <w:p w:rsidR="00A53643" w:rsidRPr="00AE3898" w:rsidP="00AE3898" w14:paraId="299ADF83" w14:textId="77777777">
      <w:pPr>
        <w:pStyle w:val="WAudit2BodyText"/>
      </w:pPr>
      <w:r w:rsidRPr="00AE3898">
        <w:t>Merja Lindh</w:t>
      </w:r>
    </w:p>
    <w:p w:rsidR="00696134" w:rsidRPr="00AE3898" w:rsidP="00AE3898" w14:paraId="357D6EB2" w14:textId="77777777">
      <w:pPr>
        <w:pStyle w:val="WAudit2BodyText"/>
      </w:pPr>
      <w:r w:rsidRPr="00AE3898">
        <w:t>Authorised Public Accountant (KHT)</w:t>
      </w:r>
    </w:p>
    <w:sectPr w:rsidSect="00820406">
      <w:headerReference w:type="even" r:id="rId86"/>
      <w:headerReference w:type="default" r:id="rId87"/>
      <w:footerReference w:type="even" r:id="rId88"/>
      <w:footerReference w:type="default" r:id="rId89"/>
      <w:headerReference w:type="first" r:id="rId90"/>
      <w:footerReference w:type="first" r:id="rId91"/>
      <w:type w:val="continuous"/>
      <w:pgSz w:w="16838" w:h="11906" w:orient="landscape"/>
      <w:pgMar w:top="1814" w:right="737" w:bottom="1247" w:left="737" w:header="720" w:footer="720" w:gutter="0"/>
      <w:pgBorders w:zOrder="front" w:display="allPages" w:offsetFrom="text">
        <w:top w:val="nil"/>
        <w:left w:val="nil"/>
        <w:bottom w:val="nil"/>
        <w:right w:val="nil"/>
      </w:pgBorders>
      <w:cols w:num="2" w:space="709"/>
      <w:vAlign w:val="top"/>
      <w:titlePg w:val="0"/>
      <w:rtlGutter w:val="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Vrinda">
    <w:altName w:val="Vrinda"/>
    <w:panose1 w:val="00000400000000000000"/>
    <w:charset w:val="00"/>
    <w:family w:val="swiss"/>
    <w:pitch w:val="variable"/>
    <w:sig w:usb0="0001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Neue LT Std 45 Light">
    <w:altName w:val="Arial"/>
    <w:panose1 w:val="00000000000000000000"/>
    <w:charset w:val="00"/>
    <w:family w:val="auto"/>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paraId="5289FD96"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02272"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901194485"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931696"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61312"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044257905"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49"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60288" fillcolor="white" stroked="f" strokeweight="0.75pt">
              <v:textbo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v:textbox>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08416"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975945286"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537050"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73600"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98566305"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55"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72576" fillcolor="white" stroked="f" strokeweight="0.75pt">
              <v:textbo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v:textbox>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07392"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340072899"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898207"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71552"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168273889"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56"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70528" fillcolor="white" stroked="f" strokeweight="0.75pt">
              <v:textbo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v:textbox>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10464"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586126300"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82321"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77696"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468154299"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57"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76672" fillcolor="white" stroked="f" strokeweight="0.75pt">
              <v:textbo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v:textbox>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09440"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267557326"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461466"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75648"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747926207"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58"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74624" fillcolor="white" stroked="f" strokeweight="0.75pt">
              <v:textbo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v:textbox>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12512"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2103942272"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985502"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81792"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698411104"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59"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80768" fillcolor="white" stroked="f" strokeweight="0.75pt">
              <v:textbo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v:textbox>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11488"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330637317"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871866"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79744"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838892857"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60"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78720" fillcolor="white" stroked="f" strokeweight="0.75pt">
              <v:textbo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v:textbox>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14560"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341822731"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19091"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85888"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072013041"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61"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84864" fillcolor="white" stroked="f" strokeweight="0.75pt">
              <v:textbo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paraId="5289FD96"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01248"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058062"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59264"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217"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50"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58240" fillcolor="white" stroked="f" strokeweight="0.75pt">
              <v:textbo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v:textbox>
            </v:shape>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13536"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724247552"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744026"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83840"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690739815"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62"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82816" fillcolor="white" stroked="f" strokeweight="0.75pt">
              <v:textbo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v:textbox>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16608"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350513142"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221066"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89984"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016665862"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63"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88960" fillcolor="white" stroked="f" strokeweight="0.75pt">
              <v:textbo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v:textbox>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15584"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722493724"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375968"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87936"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609881116"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64"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86912" fillcolor="white" stroked="f" strokeweight="0.75pt">
              <v:textbo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v:textbox>
            </v:shap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18656"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610300796"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398833"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94080"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358155801"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65"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93056" fillcolor="white" stroked="f" strokeweight="0.75pt">
              <v:textbo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v:textbox>
            </v:shap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17632"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775016844"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608506"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92032"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221912008"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66"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91008" fillcolor="white" stroked="f" strokeweight="0.75pt">
              <v:textbo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v:textbox>
            </v:shape>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20704"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370101022"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777996"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98176"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39373163"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67"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97152" fillcolor="white" stroked="f" strokeweight="0.75pt">
              <v:textbo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v:textbox>
            </v:shape>
          </w:pict>
        </mc:Fallback>
      </mc:AlternateConten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19680"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486436037"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58364"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96128"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926015768"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68"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95104" fillcolor="white" stroked="f" strokeweight="0.75pt">
              <v:textbo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tbl>
    <w:tblPr>
      <w:tblStyle w:val="TableGrid"/>
      <w:tblpPr w:leftFromText="180" w:rightFromText="180" w:vertAnchor="page" w:horzAnchor="page" w:tblpX="5511" w:tblpY="1036"/>
      <w:tblW w:w="37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711"/>
      <w:gridCol w:w="1024"/>
    </w:tblGrid>
    <w:tr w14:paraId="071989A2" w14:textId="77777777" w:rsidTr="008B432D">
      <w:tblPrEx>
        <w:tblW w:w="37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2711" w:type="dxa"/>
          <w:vAlign w:val="center"/>
        </w:tcPr>
        <w:p w:rsidR="008B432D" w:rsidP="008B432D" w14:paraId="030CAD27" w14:textId="77777777">
          <w:pPr>
            <w:pStyle w:val="Header"/>
            <w:numPr>
              <w:ilvl w:val="0"/>
              <w:numId w:val="0"/>
            </w:numPr>
            <w:rPr>
              <w:rFonts w:ascii="Georgia" w:eastAsia="Arial" w:hAnsi="Georgia"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0"/>
              <w:szCs w:val="20"/>
              <w:highlight w:val="none"/>
              <w:u w:val="none"/>
              <w:effect w:val="none"/>
              <w:bdr w:val="none" w:sz="0" w:space="0" w:color="auto"/>
              <w:shd w:val="clear" w:color="auto" w:fill="auto"/>
              <w:vertAlign w:val="baseline"/>
              <w:rtl w:val="0"/>
              <w:cs w:val="0"/>
              <w:lang w:val="en-GB" w:eastAsia="en-US" w:bidi="ar-SA"/>
            </w:rPr>
          </w:pPr>
        </w:p>
      </w:tc>
      <w:tc>
        <w:tcPr>
          <w:tcW w:w="1024" w:type="dxa"/>
          <w:vAlign w:val="center"/>
        </w:tcPr>
        <w:p w:rsidR="008B432D" w:rsidP="008B432D" w14:paraId="185B7162" w14:textId="77777777">
          <w:pPr>
            <w:pStyle w:val="Footer"/>
            <w:numPr>
              <w:ilvl w:val="0"/>
              <w:numId w:val="0"/>
            </w:numPr>
            <w:jc w:val="right"/>
            <w:rPr>
              <w:rFonts w:ascii="Georgia" w:eastAsia="Arial" w:hAnsi="Georgia"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0"/>
              <w:szCs w:val="20"/>
              <w:highlight w:val="none"/>
              <w:u w:val="none"/>
              <w:effect w:val="none"/>
              <w:bdr w:val="none" w:sz="0" w:space="0" w:color="auto"/>
              <w:shd w:val="clear" w:color="auto" w:fill="auto"/>
              <w:vertAlign w:val="baseline"/>
              <w:rtl w:val="0"/>
              <w:cs w:val="0"/>
              <w:lang w:val="en-GB" w:eastAsia="en-US" w:bidi="ar-SA"/>
            </w:rPr>
          </w:pPr>
        </w:p>
      </w:tc>
    </w:tr>
  </w:tbl>
  <w:p w:rsidR="00F825C5" w:rsidRPr="00255C36" w:rsidP="007D64C1" w14:paraId="79C1CBD6" w14:textId="77777777">
    <w:pPr>
      <w:pStyle w:val="Heade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40" w:lineRule="auto"/>
      <w:ind w:left="0" w:right="0" w:firstLine="0"/>
      <w:contextualSpacing w:val="0"/>
      <w:jc w:val="left"/>
      <w:outlineLvl w:val="9"/>
      <w:rPr>
        <w:rFonts w:ascii="Georgia" w:eastAsia="Arial" w:hAnsi="Georgia"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0"/>
        <w:szCs w:val="20"/>
        <w:highlight w:val="none"/>
        <w:u w:val="none"/>
        <w:effect w:val="none"/>
        <w:bdr w:val="none" w:sz="0" w:space="0" w:color="auto"/>
        <w:shd w:val="clear" w:color="auto" w:fill="auto"/>
        <w:vertAlign w:val="baseline"/>
        <w:rtl w:val="0"/>
        <w:cs w:val="0"/>
        <w:lang w:val="en-GB" w:eastAsia="en-US" w:bidi="ar-SA"/>
      </w:rPr>
    </w:pPr>
    <w:r>
      <w:rPr>
        <w:rFonts w:ascii="Georgia" w:eastAsia="Arial" w:hAnsi="Georgia" w:cs="Times New Roman"/>
        <w:b w:val="0"/>
        <w:bCs w:val="0"/>
        <w:i w:val="0"/>
        <w:iCs w:val="0"/>
        <w:caps w:val="0"/>
        <w:smallCaps w:val="0"/>
        <w:strike w:val="0"/>
        <w:dstrike w:val="0"/>
        <w:outline w:val="0"/>
        <w:shadow w:val="0"/>
        <w:emboss w:val="0"/>
        <w:imprint w:val="0"/>
        <w:noProof/>
        <w:vanish w:val="0"/>
        <w:color w:val="auto"/>
        <w:spacing w:val="0"/>
        <w:w w:val="100"/>
        <w:kern w:val="0"/>
        <w:position w:val="0"/>
        <w:sz w:val="20"/>
        <w:szCs w:val="20"/>
        <w:highlight w:val="none"/>
        <w:u w:val="none"/>
        <w:effect w:val="none"/>
        <w:bdr w:val="none" w:sz="0" w:space="0" w:color="auto"/>
        <w:shd w:val="clear" w:color="auto" w:fill="auto"/>
        <w:vertAlign w:val="baseline"/>
        <w:rtl w:val="0"/>
        <w:cs w:val="0"/>
        <w:lang w:val="en-US" w:eastAsia="zh-CN" w:bidi="ar-SA"/>
      </w:rPr>
      <w:drawing>
        <wp:anchor distT="0" distB="0" distL="114300" distR="114300" simplePos="0" relativeHeight="251700224" behindDoc="0" locked="1" layoutInCell="1" allowOverlap="1">
          <wp:simplePos x="0" y="0"/>
          <wp:positionH relativeFrom="page">
            <wp:posOffset>428625</wp:posOffset>
          </wp:positionH>
          <wp:positionV relativeFrom="page">
            <wp:posOffset>205105</wp:posOffset>
          </wp:positionV>
          <wp:extent cx="1409700" cy="1190625"/>
          <wp:effectExtent l="0" t="0" r="0" b="0"/>
          <wp:wrapNone/>
          <wp:docPr id="804319183" name="Picture 3" descr="PwC_fl_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3726" name="PwC_fl_c.png"/>
                  <pic:cNvPicPr/>
                </pic:nvPicPr>
                <pic:blipFill>
                  <a:blip xmlns:r="http://schemas.openxmlformats.org/officeDocument/2006/relationships" r:embed="rId1"/>
                  <a:stretch>
                    <a:fillRect/>
                  </a:stretch>
                </pic:blipFill>
                <pic:spPr>
                  <a:xfrm>
                    <a:off x="0" y="0"/>
                    <a:ext cx="1409700" cy="1190625"/>
                  </a:xfrm>
                  <a:prstGeom prst="rect">
                    <a:avLst/>
                  </a:prstGeom>
                </pic:spPr>
              </pic:pic>
            </a:graphicData>
          </a:graphic>
        </wp:anchor>
      </w:drawing>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tbl>
    <w:tblPr>
      <w:tblStyle w:val="TableGrid"/>
      <w:tblpPr w:leftFromText="180" w:rightFromText="180" w:vertAnchor="page" w:horzAnchor="page" w:tblpX="5511" w:tblpY="1036"/>
      <w:tblW w:w="37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711"/>
      <w:gridCol w:w="1024"/>
    </w:tblGrid>
    <w:tr w14:paraId="071989A2" w14:textId="77777777" w:rsidTr="008B432D">
      <w:tblPrEx>
        <w:tblW w:w="37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2711" w:type="dxa"/>
          <w:vAlign w:val="center"/>
        </w:tcPr>
        <w:p w:rsidR="008B432D" w:rsidP="008B432D" w14:paraId="030CAD27" w14:textId="77777777">
          <w:pPr>
            <w:pStyle w:val="Header"/>
            <w:numPr>
              <w:ilvl w:val="0"/>
              <w:numId w:val="0"/>
            </w:numPr>
            <w:rPr>
              <w:rFonts w:ascii="Georgia" w:eastAsia="Arial" w:hAnsi="Georgia"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0"/>
              <w:szCs w:val="20"/>
              <w:highlight w:val="none"/>
              <w:u w:val="none"/>
              <w:effect w:val="none"/>
              <w:bdr w:val="none" w:sz="0" w:space="0" w:color="auto"/>
              <w:shd w:val="clear" w:color="auto" w:fill="auto"/>
              <w:vertAlign w:val="baseline"/>
              <w:rtl w:val="0"/>
              <w:cs w:val="0"/>
              <w:lang w:val="en-GB" w:eastAsia="en-US" w:bidi="ar-SA"/>
            </w:rPr>
          </w:pPr>
        </w:p>
      </w:tc>
      <w:tc>
        <w:tcPr>
          <w:tcW w:w="1024" w:type="dxa"/>
          <w:vAlign w:val="center"/>
        </w:tcPr>
        <w:p w:rsidR="008B432D" w:rsidP="008B432D" w14:paraId="185B7162" w14:textId="77777777">
          <w:pPr>
            <w:pStyle w:val="Footer"/>
            <w:numPr>
              <w:ilvl w:val="0"/>
              <w:numId w:val="0"/>
            </w:numPr>
            <w:jc w:val="right"/>
            <w:rPr>
              <w:rFonts w:ascii="Georgia" w:eastAsia="Arial" w:hAnsi="Georgia"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0"/>
              <w:szCs w:val="20"/>
              <w:highlight w:val="none"/>
              <w:u w:val="none"/>
              <w:effect w:val="none"/>
              <w:bdr w:val="none" w:sz="0" w:space="0" w:color="auto"/>
              <w:shd w:val="clear" w:color="auto" w:fill="auto"/>
              <w:vertAlign w:val="baseline"/>
              <w:rtl w:val="0"/>
              <w:cs w:val="0"/>
              <w:lang w:val="en-GB" w:eastAsia="en-US" w:bidi="ar-SA"/>
            </w:rPr>
          </w:pPr>
        </w:p>
      </w:tc>
    </w:tr>
  </w:tbl>
  <w:p w:rsidR="00F825C5" w:rsidRPr="00255C36" w:rsidP="007D64C1" w14:paraId="79C1CBD6" w14:textId="77777777">
    <w:pPr>
      <w:pStyle w:val="Heade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40" w:lineRule="auto"/>
      <w:ind w:left="0" w:right="0" w:firstLine="0"/>
      <w:contextualSpacing w:val="0"/>
      <w:jc w:val="left"/>
      <w:outlineLvl w:val="9"/>
      <w:rPr>
        <w:rFonts w:ascii="Georgia" w:eastAsia="Arial" w:hAnsi="Georgia"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0"/>
        <w:szCs w:val="20"/>
        <w:highlight w:val="none"/>
        <w:u w:val="none"/>
        <w:effect w:val="none"/>
        <w:bdr w:val="none" w:sz="0" w:space="0" w:color="auto"/>
        <w:shd w:val="clear" w:color="auto" w:fill="auto"/>
        <w:vertAlign w:val="baseline"/>
        <w:rtl w:val="0"/>
        <w:cs w:val="0"/>
        <w:lang w:val="en-GB" w:eastAsia="en-US" w:bidi="ar-SA"/>
      </w:rPr>
    </w:pPr>
    <w:r>
      <w:rPr>
        <w:rFonts w:ascii="Georgia" w:eastAsia="Arial" w:hAnsi="Georgia" w:cs="Times New Roman"/>
        <w:b w:val="0"/>
        <w:bCs w:val="0"/>
        <w:i w:val="0"/>
        <w:iCs w:val="0"/>
        <w:caps w:val="0"/>
        <w:smallCaps w:val="0"/>
        <w:strike w:val="0"/>
        <w:dstrike w:val="0"/>
        <w:outline w:val="0"/>
        <w:shadow w:val="0"/>
        <w:emboss w:val="0"/>
        <w:imprint w:val="0"/>
        <w:noProof/>
        <w:vanish w:val="0"/>
        <w:color w:val="auto"/>
        <w:spacing w:val="0"/>
        <w:w w:val="100"/>
        <w:kern w:val="0"/>
        <w:position w:val="0"/>
        <w:sz w:val="20"/>
        <w:szCs w:val="20"/>
        <w:highlight w:val="none"/>
        <w:u w:val="none"/>
        <w:effect w:val="none"/>
        <w:bdr w:val="none" w:sz="0" w:space="0" w:color="auto"/>
        <w:shd w:val="clear" w:color="auto" w:fill="auto"/>
        <w:vertAlign w:val="baseline"/>
        <w:rtl w:val="0"/>
        <w:cs w:val="0"/>
        <w:lang w:val="en-US" w:eastAsia="zh-CN" w:bidi="ar-SA"/>
      </w:rPr>
      <w:drawing>
        <wp:anchor distT="0" distB="0" distL="114300" distR="114300" simplePos="0" relativeHeight="251699200" behindDoc="0" locked="1" layoutInCell="1" allowOverlap="1">
          <wp:simplePos x="0" y="0"/>
          <wp:positionH relativeFrom="page">
            <wp:posOffset>428625</wp:posOffset>
          </wp:positionH>
          <wp:positionV relativeFrom="page">
            <wp:posOffset>205105</wp:posOffset>
          </wp:positionV>
          <wp:extent cx="1409700" cy="1190625"/>
          <wp:effectExtent l="0" t="0" r="0" b="0"/>
          <wp:wrapNone/>
          <wp:docPr id="5" name="Picture 3" descr="PwC_fl_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877949" name="PwC_fl_c.png"/>
                  <pic:cNvPicPr/>
                </pic:nvPicPr>
                <pic:blipFill>
                  <a:blip xmlns:r="http://schemas.openxmlformats.org/officeDocument/2006/relationships" r:embed="rId1"/>
                  <a:stretch>
                    <a:fillRect/>
                  </a:stretch>
                </pic:blipFill>
                <pic:spPr>
                  <a:xfrm>
                    <a:off x="0" y="0"/>
                    <a:ext cx="1409700" cy="1190625"/>
                  </a:xfrm>
                  <a:prstGeom prst="rect">
                    <a:avLst/>
                  </a:prstGeom>
                </pic:spPr>
              </pic:pic>
            </a:graphicData>
          </a:graphic>
        </wp:anchor>
      </w:drawing>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04320"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467841657"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872383"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65408"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51911592"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51"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64384" fillcolor="white" stroked="f" strokeweight="0.75pt">
              <v:textbo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v:textbox>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03296"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845028658"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31430"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63360"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561746868"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52"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62336" fillcolor="white" stroked="f" strokeweight="0.75pt">
              <v:textbo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v:textbox>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06368"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636883196"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369332"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69504"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961386101"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53"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68480" fillcolor="white" stroked="f" strokeweight="0.75pt">
              <v:textbo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v:textbox>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05344"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006753135"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289397"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67456"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478437171"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54"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66432" fillcolor="white" stroked="f" strokeweight="0.75pt">
              <v:textbox>
                <w:txbxContent>
                  <w:p w:rsidR="002A658B" w:rsidRPr="00A1432B" w:rsidP="00F32AA6" w14:textId="77777777">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val="en-US" w:eastAsia="en-US" w:bidi="ar-SA"/>
                      </w:rPr>
                    </w:pPr>
                    <w:hyperlink w:anchor="This_is_Wärtsilä"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This is Wärtsilä     </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Sustainability"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Sustainability</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      </w:t>
                    </w:r>
                    <w:hyperlink w:anchor="Governance"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Governance</w:t>
                      </w:r>
                    </w:hyperlink>
                    <w:r w:rsidRPr="00FA3823"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r w:rsidRPr="00903D6C"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 xml:space="preserve">      </w:t>
                    </w:r>
                    <w:hyperlink w:anchor="Financial_review" w:history="1">
                      <w:r w:rsidRPr="00FA3823"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en-GB" w:eastAsia="en-US" w:bidi="ar-SA"/>
                        </w:rPr>
                        <w:t>Financial review</w:t>
                      </w:r>
                    </w:hyperlink>
                  </w:p>
                  <w:p w:rsidR="002A658B" w:rsidRPr="002A658B"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GB" w:eastAsia="en-US" w:bidi="ar-SA"/>
                      </w:rPr>
                    </w:pPr>
                  </w:p>
                </w:txbxContent>
              </v:textbox>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48E40982"/>
    <w:multiLevelType w:val="hybridMultilevel"/>
    <w:tmpl w:val="6C0A30E4"/>
    <w:lvl w:ilvl="0">
      <w:start w:val="1"/>
      <w:numFmt w:val="bullet"/>
      <w:pStyle w:val="WAuditH6"/>
      <w:lvlText w:val=""/>
      <w:lvlJc w:val="left"/>
      <w:pPr>
        <w:ind w:left="360" w:hanging="360"/>
      </w:pPr>
      <w:rPr>
        <w:rFonts w:ascii="Symbol" w:hAnsi="Symbol" w:hint="default"/>
      </w:rPr>
    </w:lvl>
    <w:lvl w:ilvl="1" w:tentative="1">
      <w:start w:val="1"/>
      <w:numFmt w:val="bullet"/>
      <w:lvlText w:val="o"/>
      <w:lvlJc w:val="left"/>
      <w:pPr>
        <w:ind w:left="1080" w:hanging="360"/>
      </w:pPr>
      <w:rPr>
        <w:rFonts w:ascii="Courier New" w:hAnsi="Courier New" w:cs="Courier New"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1">
    <w:nsid w:val="5BA34720"/>
    <w:multiLevelType w:val="hybridMultilevel"/>
    <w:tmpl w:val="6D861AD8"/>
    <w:lvl w:ilvl="0">
      <w:start w:val="1"/>
      <w:numFmt w:val="bullet"/>
      <w:pStyle w:val="WAuditH9"/>
      <w:lvlText w:val=""/>
      <w:lvlJc w:val="left"/>
      <w:pPr>
        <w:ind w:left="360" w:hanging="360"/>
      </w:pPr>
      <w:rPr>
        <w:rFonts w:ascii="Symbol" w:hAnsi="Symbol" w:hint="default"/>
      </w:rPr>
    </w:lvl>
    <w:lvl w:ilvl="1" w:tentative="1">
      <w:start w:val="1"/>
      <w:numFmt w:val="bullet"/>
      <w:lvlText w:val="o"/>
      <w:lvlJc w:val="left"/>
      <w:pPr>
        <w:ind w:left="1080" w:hanging="360"/>
      </w:pPr>
      <w:rPr>
        <w:rFonts w:ascii="Courier New" w:hAnsi="Courier New" w:cs="Courier New"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2">
    <w:nsid w:val="627904ED"/>
    <w:multiLevelType w:val="hybridMultilevel"/>
    <w:tmpl w:val="C9C8A992"/>
    <w:lvl w:ilvl="0">
      <w:start w:val="1"/>
      <w:numFmt w:val="bullet"/>
      <w:lvlText w:val="-"/>
      <w:lvlJc w:val="left"/>
      <w:pPr>
        <w:ind w:left="360" w:hanging="360"/>
      </w:pPr>
      <w:rPr>
        <w:rFonts w:ascii="Arial" w:hAnsi="Arial" w:eastAsiaTheme="minorHAnsi" w:cs="Arial" w:hint="default"/>
      </w:rPr>
    </w:lvl>
    <w:lvl w:ilvl="1" w:tentative="1">
      <w:start w:val="1"/>
      <w:numFmt w:val="bullet"/>
      <w:lvlText w:val="o"/>
      <w:lvlJc w:val="left"/>
      <w:pPr>
        <w:ind w:left="1080" w:hanging="360"/>
      </w:pPr>
      <w:rPr>
        <w:rFonts w:ascii="Courier New" w:hAnsi="Courier New" w:cs="Courier New"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3">
    <w:nsid w:val="63226A5B"/>
    <w:multiLevelType w:val="hybridMultilevel"/>
    <w:tmpl w:val="25E29E32"/>
    <w:lvl w:ilvl="0">
      <w:start w:val="0"/>
      <w:numFmt w:val="bullet"/>
      <w:lvlText w:val="•"/>
      <w:lvlJc w:val="left"/>
      <w:pPr>
        <w:ind w:left="720" w:hanging="360"/>
      </w:pPr>
      <w:rPr>
        <w:rFonts w:ascii="Arial" w:hAnsi="Arial" w:eastAsiaTheme="minorHAnsi" w:cs="Aria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4">
    <w:nsid w:val="697029F9"/>
    <w:multiLevelType w:val="hybridMultilevel"/>
    <w:tmpl w:val="69CC42D2"/>
    <w:lvl w:ilvl="0">
      <w:start w:val="0"/>
      <w:numFmt w:val="bullet"/>
      <w:lvlText w:val="-"/>
      <w:lvlJc w:val="left"/>
      <w:pPr>
        <w:ind w:left="360" w:hanging="360"/>
      </w:pPr>
      <w:rPr>
        <w:rFonts w:ascii="Arial" w:eastAsia="Arial" w:hAnsi="Arial" w:cs="Arial" w:hint="default"/>
      </w:rPr>
    </w:lvl>
    <w:lvl w:ilvl="1" w:tentative="1">
      <w:start w:val="1"/>
      <w:numFmt w:val="bullet"/>
      <w:lvlText w:val="o"/>
      <w:lvlJc w:val="left"/>
      <w:pPr>
        <w:ind w:left="1080" w:hanging="360"/>
      </w:pPr>
      <w:rPr>
        <w:rFonts w:ascii="Courier New" w:hAnsi="Courier New" w:cs="Courier New"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num w:numId="1">
    <w:abstractNumId w:val="3"/>
  </w:num>
  <w:num w:numId="2">
    <w:abstractNumId w:val="2"/>
  </w:num>
  <w:num w:numId="3">
    <w:abstractNumId w:val="0"/>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28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2D7D"/>
    <w:rsid w:val="0000003F"/>
    <w:rsid w:val="000024BE"/>
    <w:rsid w:val="000047D6"/>
    <w:rsid w:val="00005EB7"/>
    <w:rsid w:val="0000647E"/>
    <w:rsid w:val="00007084"/>
    <w:rsid w:val="000105A5"/>
    <w:rsid w:val="000108C6"/>
    <w:rsid w:val="000119B7"/>
    <w:rsid w:val="000157F5"/>
    <w:rsid w:val="00021514"/>
    <w:rsid w:val="00022155"/>
    <w:rsid w:val="00025149"/>
    <w:rsid w:val="00027A8A"/>
    <w:rsid w:val="00027CC5"/>
    <w:rsid w:val="00027DF0"/>
    <w:rsid w:val="000304AF"/>
    <w:rsid w:val="0003181F"/>
    <w:rsid w:val="00035173"/>
    <w:rsid w:val="00035397"/>
    <w:rsid w:val="00037E46"/>
    <w:rsid w:val="0004013D"/>
    <w:rsid w:val="00040A88"/>
    <w:rsid w:val="00040C14"/>
    <w:rsid w:val="00041CD2"/>
    <w:rsid w:val="00042C22"/>
    <w:rsid w:val="00043F02"/>
    <w:rsid w:val="0004444C"/>
    <w:rsid w:val="00044FAC"/>
    <w:rsid w:val="00045B7A"/>
    <w:rsid w:val="00050751"/>
    <w:rsid w:val="000515BB"/>
    <w:rsid w:val="00052A68"/>
    <w:rsid w:val="000533F9"/>
    <w:rsid w:val="000556E1"/>
    <w:rsid w:val="00056C8C"/>
    <w:rsid w:val="0005728C"/>
    <w:rsid w:val="000646C2"/>
    <w:rsid w:val="00065AAA"/>
    <w:rsid w:val="000666DA"/>
    <w:rsid w:val="00071473"/>
    <w:rsid w:val="0007261F"/>
    <w:rsid w:val="00072E27"/>
    <w:rsid w:val="00073B25"/>
    <w:rsid w:val="0007452E"/>
    <w:rsid w:val="0008436F"/>
    <w:rsid w:val="00084A2B"/>
    <w:rsid w:val="00091A0D"/>
    <w:rsid w:val="000A10FB"/>
    <w:rsid w:val="000B00D3"/>
    <w:rsid w:val="000B7617"/>
    <w:rsid w:val="000C40B7"/>
    <w:rsid w:val="000C4903"/>
    <w:rsid w:val="000C6832"/>
    <w:rsid w:val="000C6BA7"/>
    <w:rsid w:val="000D09DD"/>
    <w:rsid w:val="000D18EF"/>
    <w:rsid w:val="000D2EFD"/>
    <w:rsid w:val="000D5468"/>
    <w:rsid w:val="000D6EC7"/>
    <w:rsid w:val="000D79A6"/>
    <w:rsid w:val="000E7B53"/>
    <w:rsid w:val="000F07C1"/>
    <w:rsid w:val="000F33EA"/>
    <w:rsid w:val="000F5D1B"/>
    <w:rsid w:val="000F74F1"/>
    <w:rsid w:val="0010272A"/>
    <w:rsid w:val="00104E68"/>
    <w:rsid w:val="00106A19"/>
    <w:rsid w:val="00106F25"/>
    <w:rsid w:val="00111163"/>
    <w:rsid w:val="001165D6"/>
    <w:rsid w:val="00117709"/>
    <w:rsid w:val="00134633"/>
    <w:rsid w:val="00137ABB"/>
    <w:rsid w:val="00142765"/>
    <w:rsid w:val="00147C77"/>
    <w:rsid w:val="0015012F"/>
    <w:rsid w:val="00151C28"/>
    <w:rsid w:val="00155612"/>
    <w:rsid w:val="00156F9D"/>
    <w:rsid w:val="00160872"/>
    <w:rsid w:val="001617F3"/>
    <w:rsid w:val="00161BD2"/>
    <w:rsid w:val="00163ED9"/>
    <w:rsid w:val="00167B0C"/>
    <w:rsid w:val="001730D9"/>
    <w:rsid w:val="0017390C"/>
    <w:rsid w:val="00180B6E"/>
    <w:rsid w:val="00180C74"/>
    <w:rsid w:val="00184773"/>
    <w:rsid w:val="00186FEA"/>
    <w:rsid w:val="00192F38"/>
    <w:rsid w:val="001945EB"/>
    <w:rsid w:val="001952D3"/>
    <w:rsid w:val="001A2814"/>
    <w:rsid w:val="001A3476"/>
    <w:rsid w:val="001A4D66"/>
    <w:rsid w:val="001A5711"/>
    <w:rsid w:val="001B1B42"/>
    <w:rsid w:val="001C2F9F"/>
    <w:rsid w:val="001C4CC7"/>
    <w:rsid w:val="001D056B"/>
    <w:rsid w:val="001D0A65"/>
    <w:rsid w:val="001D18D5"/>
    <w:rsid w:val="001D18D8"/>
    <w:rsid w:val="001D25F6"/>
    <w:rsid w:val="001D396C"/>
    <w:rsid w:val="001D49D8"/>
    <w:rsid w:val="001D683E"/>
    <w:rsid w:val="001E1DC2"/>
    <w:rsid w:val="001E35C0"/>
    <w:rsid w:val="001E6CAB"/>
    <w:rsid w:val="002003F2"/>
    <w:rsid w:val="00203325"/>
    <w:rsid w:val="00206A12"/>
    <w:rsid w:val="002119C9"/>
    <w:rsid w:val="00211F4A"/>
    <w:rsid w:val="00216C08"/>
    <w:rsid w:val="002207B9"/>
    <w:rsid w:val="0022419E"/>
    <w:rsid w:val="00224CB7"/>
    <w:rsid w:val="00227F40"/>
    <w:rsid w:val="00231CA1"/>
    <w:rsid w:val="00232FC5"/>
    <w:rsid w:val="00234A72"/>
    <w:rsid w:val="002360CC"/>
    <w:rsid w:val="00236FD1"/>
    <w:rsid w:val="00237247"/>
    <w:rsid w:val="00241DDF"/>
    <w:rsid w:val="00242746"/>
    <w:rsid w:val="002430C4"/>
    <w:rsid w:val="002478C9"/>
    <w:rsid w:val="00252DF1"/>
    <w:rsid w:val="00255C36"/>
    <w:rsid w:val="00257451"/>
    <w:rsid w:val="0026008C"/>
    <w:rsid w:val="00261354"/>
    <w:rsid w:val="00262964"/>
    <w:rsid w:val="00262B2F"/>
    <w:rsid w:val="002641E5"/>
    <w:rsid w:val="0027054E"/>
    <w:rsid w:val="00273260"/>
    <w:rsid w:val="00275232"/>
    <w:rsid w:val="00276F53"/>
    <w:rsid w:val="002778BD"/>
    <w:rsid w:val="00280C1D"/>
    <w:rsid w:val="00283B8E"/>
    <w:rsid w:val="0028485C"/>
    <w:rsid w:val="00284DC3"/>
    <w:rsid w:val="00285854"/>
    <w:rsid w:val="00287B33"/>
    <w:rsid w:val="00287C8C"/>
    <w:rsid w:val="00292A01"/>
    <w:rsid w:val="002930E7"/>
    <w:rsid w:val="002941DE"/>
    <w:rsid w:val="002A103C"/>
    <w:rsid w:val="002A1B16"/>
    <w:rsid w:val="002A2C6F"/>
    <w:rsid w:val="002A4063"/>
    <w:rsid w:val="002A406D"/>
    <w:rsid w:val="002A5572"/>
    <w:rsid w:val="002A658B"/>
    <w:rsid w:val="002B78E7"/>
    <w:rsid w:val="002B7AB8"/>
    <w:rsid w:val="002D56D5"/>
    <w:rsid w:val="002D612E"/>
    <w:rsid w:val="002E0801"/>
    <w:rsid w:val="002E091E"/>
    <w:rsid w:val="002E128D"/>
    <w:rsid w:val="002E3157"/>
    <w:rsid w:val="002E583E"/>
    <w:rsid w:val="002E6E71"/>
    <w:rsid w:val="002F2D46"/>
    <w:rsid w:val="002F4899"/>
    <w:rsid w:val="002F4C6A"/>
    <w:rsid w:val="00300011"/>
    <w:rsid w:val="0030252D"/>
    <w:rsid w:val="00302ACF"/>
    <w:rsid w:val="00304BE0"/>
    <w:rsid w:val="00305DFD"/>
    <w:rsid w:val="00307966"/>
    <w:rsid w:val="00316E50"/>
    <w:rsid w:val="00324119"/>
    <w:rsid w:val="00324C4A"/>
    <w:rsid w:val="00326EFD"/>
    <w:rsid w:val="0033123E"/>
    <w:rsid w:val="0033218B"/>
    <w:rsid w:val="003331BF"/>
    <w:rsid w:val="003379AB"/>
    <w:rsid w:val="00344D28"/>
    <w:rsid w:val="00351D18"/>
    <w:rsid w:val="00356656"/>
    <w:rsid w:val="00356980"/>
    <w:rsid w:val="00357128"/>
    <w:rsid w:val="00360AE7"/>
    <w:rsid w:val="00361E60"/>
    <w:rsid w:val="00364375"/>
    <w:rsid w:val="00370040"/>
    <w:rsid w:val="00372040"/>
    <w:rsid w:val="003802C7"/>
    <w:rsid w:val="0038059B"/>
    <w:rsid w:val="00380A48"/>
    <w:rsid w:val="003877A7"/>
    <w:rsid w:val="0039314B"/>
    <w:rsid w:val="00397E7D"/>
    <w:rsid w:val="003A7140"/>
    <w:rsid w:val="003B2F0C"/>
    <w:rsid w:val="003B3A2A"/>
    <w:rsid w:val="003B573A"/>
    <w:rsid w:val="003B63DC"/>
    <w:rsid w:val="003B65E1"/>
    <w:rsid w:val="003B70EE"/>
    <w:rsid w:val="003B7706"/>
    <w:rsid w:val="003B7751"/>
    <w:rsid w:val="003C389C"/>
    <w:rsid w:val="003D672F"/>
    <w:rsid w:val="003D701D"/>
    <w:rsid w:val="003E10A4"/>
    <w:rsid w:val="003E7096"/>
    <w:rsid w:val="003F119C"/>
    <w:rsid w:val="003F5FAF"/>
    <w:rsid w:val="003F7AA6"/>
    <w:rsid w:val="00403AA6"/>
    <w:rsid w:val="0041008A"/>
    <w:rsid w:val="004128E5"/>
    <w:rsid w:val="00416A3F"/>
    <w:rsid w:val="00421B34"/>
    <w:rsid w:val="00423DED"/>
    <w:rsid w:val="00431801"/>
    <w:rsid w:val="004318B5"/>
    <w:rsid w:val="0043219F"/>
    <w:rsid w:val="00441283"/>
    <w:rsid w:val="0044340E"/>
    <w:rsid w:val="00450910"/>
    <w:rsid w:val="00450C5F"/>
    <w:rsid w:val="00451945"/>
    <w:rsid w:val="00453BA3"/>
    <w:rsid w:val="004619B5"/>
    <w:rsid w:val="0047121E"/>
    <w:rsid w:val="00472E43"/>
    <w:rsid w:val="00475B1F"/>
    <w:rsid w:val="00475B54"/>
    <w:rsid w:val="00477415"/>
    <w:rsid w:val="00477ABA"/>
    <w:rsid w:val="004807E1"/>
    <w:rsid w:val="00482592"/>
    <w:rsid w:val="004832DE"/>
    <w:rsid w:val="004850B4"/>
    <w:rsid w:val="00486233"/>
    <w:rsid w:val="004903E7"/>
    <w:rsid w:val="00490F3D"/>
    <w:rsid w:val="0049191D"/>
    <w:rsid w:val="00495BED"/>
    <w:rsid w:val="00497309"/>
    <w:rsid w:val="0049797B"/>
    <w:rsid w:val="00497F85"/>
    <w:rsid w:val="004A1391"/>
    <w:rsid w:val="004A2528"/>
    <w:rsid w:val="004A5435"/>
    <w:rsid w:val="004A54F0"/>
    <w:rsid w:val="004A5500"/>
    <w:rsid w:val="004A74E2"/>
    <w:rsid w:val="004B15CD"/>
    <w:rsid w:val="004B441D"/>
    <w:rsid w:val="004B4CF9"/>
    <w:rsid w:val="004B5C32"/>
    <w:rsid w:val="004B60DD"/>
    <w:rsid w:val="004C18E7"/>
    <w:rsid w:val="004C30D4"/>
    <w:rsid w:val="004D1E71"/>
    <w:rsid w:val="004D22E9"/>
    <w:rsid w:val="004D5C81"/>
    <w:rsid w:val="004E14A3"/>
    <w:rsid w:val="004E4A8F"/>
    <w:rsid w:val="004E6AAE"/>
    <w:rsid w:val="004F0DD2"/>
    <w:rsid w:val="004F4E44"/>
    <w:rsid w:val="004F5D9C"/>
    <w:rsid w:val="004F6AFD"/>
    <w:rsid w:val="005002A0"/>
    <w:rsid w:val="005002C1"/>
    <w:rsid w:val="005019BE"/>
    <w:rsid w:val="00504C34"/>
    <w:rsid w:val="00504D9B"/>
    <w:rsid w:val="00505394"/>
    <w:rsid w:val="00511D5D"/>
    <w:rsid w:val="005135BC"/>
    <w:rsid w:val="00515E73"/>
    <w:rsid w:val="00520D95"/>
    <w:rsid w:val="00523FB8"/>
    <w:rsid w:val="005245C9"/>
    <w:rsid w:val="0052585C"/>
    <w:rsid w:val="00532E39"/>
    <w:rsid w:val="00533662"/>
    <w:rsid w:val="0053487E"/>
    <w:rsid w:val="00540F6F"/>
    <w:rsid w:val="00543D58"/>
    <w:rsid w:val="0054408B"/>
    <w:rsid w:val="005545D2"/>
    <w:rsid w:val="00555D47"/>
    <w:rsid w:val="005602FE"/>
    <w:rsid w:val="00560C91"/>
    <w:rsid w:val="0056166A"/>
    <w:rsid w:val="00561A43"/>
    <w:rsid w:val="0056485C"/>
    <w:rsid w:val="0056748F"/>
    <w:rsid w:val="00567A42"/>
    <w:rsid w:val="00571367"/>
    <w:rsid w:val="00572998"/>
    <w:rsid w:val="005749E3"/>
    <w:rsid w:val="00575998"/>
    <w:rsid w:val="00575BD7"/>
    <w:rsid w:val="00576049"/>
    <w:rsid w:val="00577A47"/>
    <w:rsid w:val="00577C31"/>
    <w:rsid w:val="00577CEC"/>
    <w:rsid w:val="0058370B"/>
    <w:rsid w:val="00583982"/>
    <w:rsid w:val="00583ADC"/>
    <w:rsid w:val="00585B57"/>
    <w:rsid w:val="00586F6C"/>
    <w:rsid w:val="00590B7E"/>
    <w:rsid w:val="00591ADC"/>
    <w:rsid w:val="00591C3E"/>
    <w:rsid w:val="005967F1"/>
    <w:rsid w:val="005A24E9"/>
    <w:rsid w:val="005A3CAD"/>
    <w:rsid w:val="005B059E"/>
    <w:rsid w:val="005B51C8"/>
    <w:rsid w:val="005B5449"/>
    <w:rsid w:val="005C05CC"/>
    <w:rsid w:val="005C3A59"/>
    <w:rsid w:val="005C5755"/>
    <w:rsid w:val="005C7E88"/>
    <w:rsid w:val="005C7FA8"/>
    <w:rsid w:val="005D1654"/>
    <w:rsid w:val="005D7A3D"/>
    <w:rsid w:val="005E4162"/>
    <w:rsid w:val="005E4FEF"/>
    <w:rsid w:val="005E6526"/>
    <w:rsid w:val="005E7F25"/>
    <w:rsid w:val="005F07AF"/>
    <w:rsid w:val="005F1001"/>
    <w:rsid w:val="005F14DD"/>
    <w:rsid w:val="005F366E"/>
    <w:rsid w:val="0060070C"/>
    <w:rsid w:val="00600C06"/>
    <w:rsid w:val="00600C82"/>
    <w:rsid w:val="00601320"/>
    <w:rsid w:val="00601AAC"/>
    <w:rsid w:val="00601C87"/>
    <w:rsid w:val="006025E7"/>
    <w:rsid w:val="00603A67"/>
    <w:rsid w:val="006070B9"/>
    <w:rsid w:val="00614AB1"/>
    <w:rsid w:val="00616C46"/>
    <w:rsid w:val="00617761"/>
    <w:rsid w:val="00627F56"/>
    <w:rsid w:val="00633C44"/>
    <w:rsid w:val="0063505C"/>
    <w:rsid w:val="00635A61"/>
    <w:rsid w:val="00640D46"/>
    <w:rsid w:val="00641A34"/>
    <w:rsid w:val="006439B0"/>
    <w:rsid w:val="006477FD"/>
    <w:rsid w:val="0065396A"/>
    <w:rsid w:val="006540D8"/>
    <w:rsid w:val="00661FD6"/>
    <w:rsid w:val="0066431F"/>
    <w:rsid w:val="006648FA"/>
    <w:rsid w:val="00666999"/>
    <w:rsid w:val="00674BD9"/>
    <w:rsid w:val="006773DB"/>
    <w:rsid w:val="006779C0"/>
    <w:rsid w:val="0068483E"/>
    <w:rsid w:val="00687320"/>
    <w:rsid w:val="00687358"/>
    <w:rsid w:val="00692FA5"/>
    <w:rsid w:val="00693A60"/>
    <w:rsid w:val="00695062"/>
    <w:rsid w:val="006950D0"/>
    <w:rsid w:val="00696134"/>
    <w:rsid w:val="006A4F26"/>
    <w:rsid w:val="006B20E3"/>
    <w:rsid w:val="006B295D"/>
    <w:rsid w:val="006B5F73"/>
    <w:rsid w:val="006C16DE"/>
    <w:rsid w:val="006C28E0"/>
    <w:rsid w:val="006C2CD9"/>
    <w:rsid w:val="006C36F0"/>
    <w:rsid w:val="006D2934"/>
    <w:rsid w:val="006D429C"/>
    <w:rsid w:val="006E3732"/>
    <w:rsid w:val="006E61BB"/>
    <w:rsid w:val="006E6F3B"/>
    <w:rsid w:val="00703CD8"/>
    <w:rsid w:val="007040EF"/>
    <w:rsid w:val="00707F6A"/>
    <w:rsid w:val="0071287F"/>
    <w:rsid w:val="00712F8F"/>
    <w:rsid w:val="007238DA"/>
    <w:rsid w:val="00725352"/>
    <w:rsid w:val="00725B55"/>
    <w:rsid w:val="0073417C"/>
    <w:rsid w:val="007344A7"/>
    <w:rsid w:val="007368A0"/>
    <w:rsid w:val="00740FE2"/>
    <w:rsid w:val="00745CC9"/>
    <w:rsid w:val="00751543"/>
    <w:rsid w:val="007574FD"/>
    <w:rsid w:val="0076044C"/>
    <w:rsid w:val="0076174B"/>
    <w:rsid w:val="00770383"/>
    <w:rsid w:val="00770E27"/>
    <w:rsid w:val="00771019"/>
    <w:rsid w:val="00773A64"/>
    <w:rsid w:val="00774B54"/>
    <w:rsid w:val="00774DCC"/>
    <w:rsid w:val="007801D2"/>
    <w:rsid w:val="0078135C"/>
    <w:rsid w:val="00782299"/>
    <w:rsid w:val="00782316"/>
    <w:rsid w:val="00782DBB"/>
    <w:rsid w:val="00785A4E"/>
    <w:rsid w:val="00787A0C"/>
    <w:rsid w:val="00792620"/>
    <w:rsid w:val="00793D35"/>
    <w:rsid w:val="00795DF8"/>
    <w:rsid w:val="0079738D"/>
    <w:rsid w:val="007A6516"/>
    <w:rsid w:val="007B0A0B"/>
    <w:rsid w:val="007B4A4D"/>
    <w:rsid w:val="007B76B4"/>
    <w:rsid w:val="007C60CF"/>
    <w:rsid w:val="007C7DD5"/>
    <w:rsid w:val="007D14D7"/>
    <w:rsid w:val="007D1D53"/>
    <w:rsid w:val="007D4159"/>
    <w:rsid w:val="007D64C1"/>
    <w:rsid w:val="007D6DAF"/>
    <w:rsid w:val="007E331D"/>
    <w:rsid w:val="007E471C"/>
    <w:rsid w:val="007E4F71"/>
    <w:rsid w:val="007E6680"/>
    <w:rsid w:val="007F47FE"/>
    <w:rsid w:val="007F6711"/>
    <w:rsid w:val="007F7F26"/>
    <w:rsid w:val="008001D0"/>
    <w:rsid w:val="00800A23"/>
    <w:rsid w:val="00801273"/>
    <w:rsid w:val="008121A0"/>
    <w:rsid w:val="00813C16"/>
    <w:rsid w:val="008215C0"/>
    <w:rsid w:val="0082555F"/>
    <w:rsid w:val="0082714C"/>
    <w:rsid w:val="00832E69"/>
    <w:rsid w:val="00845C61"/>
    <w:rsid w:val="00846F36"/>
    <w:rsid w:val="00850604"/>
    <w:rsid w:val="00850626"/>
    <w:rsid w:val="008507CC"/>
    <w:rsid w:val="00851FE1"/>
    <w:rsid w:val="0085453F"/>
    <w:rsid w:val="008625E1"/>
    <w:rsid w:val="00862C1F"/>
    <w:rsid w:val="00862CFB"/>
    <w:rsid w:val="008633F0"/>
    <w:rsid w:val="00871476"/>
    <w:rsid w:val="00871A6A"/>
    <w:rsid w:val="008721AC"/>
    <w:rsid w:val="008746FF"/>
    <w:rsid w:val="00880FEE"/>
    <w:rsid w:val="00882FD0"/>
    <w:rsid w:val="008835D8"/>
    <w:rsid w:val="00884FF9"/>
    <w:rsid w:val="00885DDC"/>
    <w:rsid w:val="008873E8"/>
    <w:rsid w:val="0089664E"/>
    <w:rsid w:val="008A41F4"/>
    <w:rsid w:val="008A5F3F"/>
    <w:rsid w:val="008A7CA0"/>
    <w:rsid w:val="008B432D"/>
    <w:rsid w:val="008B4EC6"/>
    <w:rsid w:val="008C1314"/>
    <w:rsid w:val="008C292C"/>
    <w:rsid w:val="008C5E69"/>
    <w:rsid w:val="008C5F31"/>
    <w:rsid w:val="008C7270"/>
    <w:rsid w:val="008E06D9"/>
    <w:rsid w:val="008E2EDF"/>
    <w:rsid w:val="008E4478"/>
    <w:rsid w:val="008E5C34"/>
    <w:rsid w:val="008E6503"/>
    <w:rsid w:val="008F0E88"/>
    <w:rsid w:val="008F4B72"/>
    <w:rsid w:val="008F7528"/>
    <w:rsid w:val="00903D6C"/>
    <w:rsid w:val="00903EA4"/>
    <w:rsid w:val="009124E4"/>
    <w:rsid w:val="00921682"/>
    <w:rsid w:val="009271B0"/>
    <w:rsid w:val="009275CE"/>
    <w:rsid w:val="00927EF6"/>
    <w:rsid w:val="00934CA2"/>
    <w:rsid w:val="00941A53"/>
    <w:rsid w:val="009450DE"/>
    <w:rsid w:val="009457EE"/>
    <w:rsid w:val="00947F05"/>
    <w:rsid w:val="0095400D"/>
    <w:rsid w:val="009555CC"/>
    <w:rsid w:val="009556F2"/>
    <w:rsid w:val="0096005C"/>
    <w:rsid w:val="00967DC8"/>
    <w:rsid w:val="00974921"/>
    <w:rsid w:val="00974ADA"/>
    <w:rsid w:val="00974F22"/>
    <w:rsid w:val="00977D3D"/>
    <w:rsid w:val="00982622"/>
    <w:rsid w:val="00984441"/>
    <w:rsid w:val="00984CDF"/>
    <w:rsid w:val="00987D45"/>
    <w:rsid w:val="00993588"/>
    <w:rsid w:val="009952A9"/>
    <w:rsid w:val="009A1ACC"/>
    <w:rsid w:val="009A6F36"/>
    <w:rsid w:val="009A73FB"/>
    <w:rsid w:val="009A7631"/>
    <w:rsid w:val="009B05DB"/>
    <w:rsid w:val="009B2150"/>
    <w:rsid w:val="009B6868"/>
    <w:rsid w:val="009C6E08"/>
    <w:rsid w:val="009C782E"/>
    <w:rsid w:val="009D0396"/>
    <w:rsid w:val="009D167B"/>
    <w:rsid w:val="009D420C"/>
    <w:rsid w:val="009D5A4F"/>
    <w:rsid w:val="009E1B7F"/>
    <w:rsid w:val="009E3C51"/>
    <w:rsid w:val="009E57EC"/>
    <w:rsid w:val="009E621F"/>
    <w:rsid w:val="009E7364"/>
    <w:rsid w:val="009E7ED7"/>
    <w:rsid w:val="009F097A"/>
    <w:rsid w:val="009F3B4C"/>
    <w:rsid w:val="009F40D4"/>
    <w:rsid w:val="009F4906"/>
    <w:rsid w:val="009F5FE3"/>
    <w:rsid w:val="009F7D77"/>
    <w:rsid w:val="00A009B4"/>
    <w:rsid w:val="00A01D0B"/>
    <w:rsid w:val="00A02656"/>
    <w:rsid w:val="00A02773"/>
    <w:rsid w:val="00A054E2"/>
    <w:rsid w:val="00A05CCB"/>
    <w:rsid w:val="00A07F4C"/>
    <w:rsid w:val="00A10062"/>
    <w:rsid w:val="00A100CA"/>
    <w:rsid w:val="00A1145E"/>
    <w:rsid w:val="00A123B1"/>
    <w:rsid w:val="00A142A9"/>
    <w:rsid w:val="00A1432B"/>
    <w:rsid w:val="00A207A2"/>
    <w:rsid w:val="00A207BD"/>
    <w:rsid w:val="00A31267"/>
    <w:rsid w:val="00A34DF5"/>
    <w:rsid w:val="00A34EF0"/>
    <w:rsid w:val="00A40A13"/>
    <w:rsid w:val="00A42822"/>
    <w:rsid w:val="00A4473A"/>
    <w:rsid w:val="00A44DD8"/>
    <w:rsid w:val="00A462BD"/>
    <w:rsid w:val="00A46AD9"/>
    <w:rsid w:val="00A50D3F"/>
    <w:rsid w:val="00A526E2"/>
    <w:rsid w:val="00A53643"/>
    <w:rsid w:val="00A53AA9"/>
    <w:rsid w:val="00A560F8"/>
    <w:rsid w:val="00A573A8"/>
    <w:rsid w:val="00A64967"/>
    <w:rsid w:val="00A71288"/>
    <w:rsid w:val="00A714A1"/>
    <w:rsid w:val="00A762E5"/>
    <w:rsid w:val="00A77F9E"/>
    <w:rsid w:val="00A83120"/>
    <w:rsid w:val="00A87A43"/>
    <w:rsid w:val="00A954A9"/>
    <w:rsid w:val="00A95563"/>
    <w:rsid w:val="00A96469"/>
    <w:rsid w:val="00A9784A"/>
    <w:rsid w:val="00AA093D"/>
    <w:rsid w:val="00AA1270"/>
    <w:rsid w:val="00AA3755"/>
    <w:rsid w:val="00AA558F"/>
    <w:rsid w:val="00AA61FB"/>
    <w:rsid w:val="00AA644C"/>
    <w:rsid w:val="00AA6CDC"/>
    <w:rsid w:val="00AB0EAF"/>
    <w:rsid w:val="00AB2513"/>
    <w:rsid w:val="00AC3580"/>
    <w:rsid w:val="00AC5B5E"/>
    <w:rsid w:val="00AC6497"/>
    <w:rsid w:val="00AD1547"/>
    <w:rsid w:val="00AD18E9"/>
    <w:rsid w:val="00AD55D7"/>
    <w:rsid w:val="00AD6B99"/>
    <w:rsid w:val="00AE0C97"/>
    <w:rsid w:val="00AE3898"/>
    <w:rsid w:val="00AE391C"/>
    <w:rsid w:val="00AE405A"/>
    <w:rsid w:val="00AE4A2D"/>
    <w:rsid w:val="00AF1201"/>
    <w:rsid w:val="00AF6566"/>
    <w:rsid w:val="00B0005B"/>
    <w:rsid w:val="00B000E2"/>
    <w:rsid w:val="00B01674"/>
    <w:rsid w:val="00B04FCD"/>
    <w:rsid w:val="00B05CCF"/>
    <w:rsid w:val="00B0674F"/>
    <w:rsid w:val="00B1190B"/>
    <w:rsid w:val="00B11A4B"/>
    <w:rsid w:val="00B14CC9"/>
    <w:rsid w:val="00B151A2"/>
    <w:rsid w:val="00B15DF5"/>
    <w:rsid w:val="00B23664"/>
    <w:rsid w:val="00B25365"/>
    <w:rsid w:val="00B25906"/>
    <w:rsid w:val="00B30038"/>
    <w:rsid w:val="00B3056E"/>
    <w:rsid w:val="00B30C58"/>
    <w:rsid w:val="00B3292E"/>
    <w:rsid w:val="00B3480E"/>
    <w:rsid w:val="00B425AF"/>
    <w:rsid w:val="00B4426B"/>
    <w:rsid w:val="00B45B52"/>
    <w:rsid w:val="00B45E4B"/>
    <w:rsid w:val="00B4774E"/>
    <w:rsid w:val="00B53A37"/>
    <w:rsid w:val="00B5483A"/>
    <w:rsid w:val="00B5562D"/>
    <w:rsid w:val="00B56701"/>
    <w:rsid w:val="00B575A5"/>
    <w:rsid w:val="00B645E9"/>
    <w:rsid w:val="00B64D44"/>
    <w:rsid w:val="00B66233"/>
    <w:rsid w:val="00B668B1"/>
    <w:rsid w:val="00B67078"/>
    <w:rsid w:val="00B70255"/>
    <w:rsid w:val="00B75734"/>
    <w:rsid w:val="00B767D3"/>
    <w:rsid w:val="00B81D1D"/>
    <w:rsid w:val="00B852C7"/>
    <w:rsid w:val="00B878ED"/>
    <w:rsid w:val="00B90EE0"/>
    <w:rsid w:val="00B91B7E"/>
    <w:rsid w:val="00B93CC2"/>
    <w:rsid w:val="00B93D3E"/>
    <w:rsid w:val="00B972E6"/>
    <w:rsid w:val="00B97F61"/>
    <w:rsid w:val="00BA00E7"/>
    <w:rsid w:val="00BA08C3"/>
    <w:rsid w:val="00BA14A7"/>
    <w:rsid w:val="00BA251F"/>
    <w:rsid w:val="00BA38AE"/>
    <w:rsid w:val="00BB27A0"/>
    <w:rsid w:val="00BB299E"/>
    <w:rsid w:val="00BB42A5"/>
    <w:rsid w:val="00BB69C9"/>
    <w:rsid w:val="00BC1BF2"/>
    <w:rsid w:val="00BC31BF"/>
    <w:rsid w:val="00BC68D0"/>
    <w:rsid w:val="00BD21AF"/>
    <w:rsid w:val="00BE13D9"/>
    <w:rsid w:val="00BE2265"/>
    <w:rsid w:val="00BE4DA7"/>
    <w:rsid w:val="00BF1DEC"/>
    <w:rsid w:val="00BF3E3E"/>
    <w:rsid w:val="00BF4DB4"/>
    <w:rsid w:val="00C06871"/>
    <w:rsid w:val="00C12360"/>
    <w:rsid w:val="00C12619"/>
    <w:rsid w:val="00C1716D"/>
    <w:rsid w:val="00C20A21"/>
    <w:rsid w:val="00C223A2"/>
    <w:rsid w:val="00C32B58"/>
    <w:rsid w:val="00C42653"/>
    <w:rsid w:val="00C4573C"/>
    <w:rsid w:val="00C55C6E"/>
    <w:rsid w:val="00C57629"/>
    <w:rsid w:val="00C60682"/>
    <w:rsid w:val="00C67EB2"/>
    <w:rsid w:val="00C710AE"/>
    <w:rsid w:val="00C72AD5"/>
    <w:rsid w:val="00C769C8"/>
    <w:rsid w:val="00C7724D"/>
    <w:rsid w:val="00C82F26"/>
    <w:rsid w:val="00C84DD0"/>
    <w:rsid w:val="00C945D0"/>
    <w:rsid w:val="00C950D5"/>
    <w:rsid w:val="00CA3C60"/>
    <w:rsid w:val="00CA6E81"/>
    <w:rsid w:val="00CA7465"/>
    <w:rsid w:val="00CA7E84"/>
    <w:rsid w:val="00CB08EE"/>
    <w:rsid w:val="00CB25DE"/>
    <w:rsid w:val="00CB4B31"/>
    <w:rsid w:val="00CB635C"/>
    <w:rsid w:val="00CB6452"/>
    <w:rsid w:val="00CB7155"/>
    <w:rsid w:val="00CB7366"/>
    <w:rsid w:val="00CB755F"/>
    <w:rsid w:val="00CC289E"/>
    <w:rsid w:val="00CC3731"/>
    <w:rsid w:val="00CC4FCD"/>
    <w:rsid w:val="00CC626C"/>
    <w:rsid w:val="00CC7BD2"/>
    <w:rsid w:val="00CD28B6"/>
    <w:rsid w:val="00CE2D91"/>
    <w:rsid w:val="00CE381E"/>
    <w:rsid w:val="00CE3A53"/>
    <w:rsid w:val="00CE6A42"/>
    <w:rsid w:val="00CF3795"/>
    <w:rsid w:val="00CF5E4D"/>
    <w:rsid w:val="00CF7FF3"/>
    <w:rsid w:val="00D001AD"/>
    <w:rsid w:val="00D01C1F"/>
    <w:rsid w:val="00D0245C"/>
    <w:rsid w:val="00D02B8D"/>
    <w:rsid w:val="00D04207"/>
    <w:rsid w:val="00D04B16"/>
    <w:rsid w:val="00D0748B"/>
    <w:rsid w:val="00D07539"/>
    <w:rsid w:val="00D07AAA"/>
    <w:rsid w:val="00D1012D"/>
    <w:rsid w:val="00D122BE"/>
    <w:rsid w:val="00D125F9"/>
    <w:rsid w:val="00D22D7D"/>
    <w:rsid w:val="00D33EEC"/>
    <w:rsid w:val="00D3472C"/>
    <w:rsid w:val="00D3559C"/>
    <w:rsid w:val="00D37CFA"/>
    <w:rsid w:val="00D40C99"/>
    <w:rsid w:val="00D4450B"/>
    <w:rsid w:val="00D46C68"/>
    <w:rsid w:val="00D50E6B"/>
    <w:rsid w:val="00D50EA2"/>
    <w:rsid w:val="00D515C4"/>
    <w:rsid w:val="00D56CB4"/>
    <w:rsid w:val="00D56E97"/>
    <w:rsid w:val="00D5737C"/>
    <w:rsid w:val="00D607C5"/>
    <w:rsid w:val="00D75B67"/>
    <w:rsid w:val="00D86799"/>
    <w:rsid w:val="00D879B6"/>
    <w:rsid w:val="00D91D7D"/>
    <w:rsid w:val="00D92D57"/>
    <w:rsid w:val="00D9472F"/>
    <w:rsid w:val="00DA017E"/>
    <w:rsid w:val="00DA38BD"/>
    <w:rsid w:val="00DA3B0D"/>
    <w:rsid w:val="00DA49CF"/>
    <w:rsid w:val="00DB11F8"/>
    <w:rsid w:val="00DB1E3E"/>
    <w:rsid w:val="00DB554F"/>
    <w:rsid w:val="00DC014C"/>
    <w:rsid w:val="00DC022F"/>
    <w:rsid w:val="00DC6DCA"/>
    <w:rsid w:val="00DD4B48"/>
    <w:rsid w:val="00DD73C4"/>
    <w:rsid w:val="00DE0553"/>
    <w:rsid w:val="00DE5DBB"/>
    <w:rsid w:val="00DE5F5C"/>
    <w:rsid w:val="00DE7E66"/>
    <w:rsid w:val="00DF3667"/>
    <w:rsid w:val="00DF6003"/>
    <w:rsid w:val="00E0053B"/>
    <w:rsid w:val="00E06B9F"/>
    <w:rsid w:val="00E07396"/>
    <w:rsid w:val="00E10FE4"/>
    <w:rsid w:val="00E2052E"/>
    <w:rsid w:val="00E24875"/>
    <w:rsid w:val="00E24FC8"/>
    <w:rsid w:val="00E27CFC"/>
    <w:rsid w:val="00E31297"/>
    <w:rsid w:val="00E34EA2"/>
    <w:rsid w:val="00E42FDF"/>
    <w:rsid w:val="00E53B17"/>
    <w:rsid w:val="00E541C3"/>
    <w:rsid w:val="00E548FA"/>
    <w:rsid w:val="00E55EB6"/>
    <w:rsid w:val="00E55F0B"/>
    <w:rsid w:val="00E57F50"/>
    <w:rsid w:val="00E60B6D"/>
    <w:rsid w:val="00E63364"/>
    <w:rsid w:val="00E70BC4"/>
    <w:rsid w:val="00E72091"/>
    <w:rsid w:val="00E7228D"/>
    <w:rsid w:val="00E75286"/>
    <w:rsid w:val="00E753BC"/>
    <w:rsid w:val="00E77793"/>
    <w:rsid w:val="00E827CB"/>
    <w:rsid w:val="00E8455B"/>
    <w:rsid w:val="00E85C0B"/>
    <w:rsid w:val="00E85FC4"/>
    <w:rsid w:val="00E90B85"/>
    <w:rsid w:val="00E90BB0"/>
    <w:rsid w:val="00E91F2C"/>
    <w:rsid w:val="00E930DF"/>
    <w:rsid w:val="00E93E42"/>
    <w:rsid w:val="00E96A16"/>
    <w:rsid w:val="00EA1C4A"/>
    <w:rsid w:val="00EA39E6"/>
    <w:rsid w:val="00EA56A0"/>
    <w:rsid w:val="00EB1A56"/>
    <w:rsid w:val="00EB4A67"/>
    <w:rsid w:val="00EB552C"/>
    <w:rsid w:val="00EB5599"/>
    <w:rsid w:val="00EB6285"/>
    <w:rsid w:val="00EC2295"/>
    <w:rsid w:val="00EC5812"/>
    <w:rsid w:val="00EC6BDA"/>
    <w:rsid w:val="00EC7DB0"/>
    <w:rsid w:val="00ED3E1F"/>
    <w:rsid w:val="00ED4CD5"/>
    <w:rsid w:val="00ED5116"/>
    <w:rsid w:val="00ED613C"/>
    <w:rsid w:val="00ED6B56"/>
    <w:rsid w:val="00EE03C4"/>
    <w:rsid w:val="00EE0BCF"/>
    <w:rsid w:val="00EE665A"/>
    <w:rsid w:val="00EF08D8"/>
    <w:rsid w:val="00EF0CEF"/>
    <w:rsid w:val="00EF4467"/>
    <w:rsid w:val="00EF49B8"/>
    <w:rsid w:val="00EF68DD"/>
    <w:rsid w:val="00EF6F8D"/>
    <w:rsid w:val="00F03720"/>
    <w:rsid w:val="00F05ECB"/>
    <w:rsid w:val="00F169F0"/>
    <w:rsid w:val="00F24723"/>
    <w:rsid w:val="00F32AA6"/>
    <w:rsid w:val="00F32CE0"/>
    <w:rsid w:val="00F45DB3"/>
    <w:rsid w:val="00F472E2"/>
    <w:rsid w:val="00F47EE8"/>
    <w:rsid w:val="00F47F5D"/>
    <w:rsid w:val="00F5296A"/>
    <w:rsid w:val="00F56980"/>
    <w:rsid w:val="00F5782B"/>
    <w:rsid w:val="00F62C6C"/>
    <w:rsid w:val="00F6624F"/>
    <w:rsid w:val="00F66F00"/>
    <w:rsid w:val="00F704BA"/>
    <w:rsid w:val="00F714BD"/>
    <w:rsid w:val="00F753FD"/>
    <w:rsid w:val="00F762EC"/>
    <w:rsid w:val="00F7711F"/>
    <w:rsid w:val="00F80E99"/>
    <w:rsid w:val="00F81389"/>
    <w:rsid w:val="00F825C5"/>
    <w:rsid w:val="00F84EF0"/>
    <w:rsid w:val="00F869DC"/>
    <w:rsid w:val="00F90E9F"/>
    <w:rsid w:val="00F910BC"/>
    <w:rsid w:val="00F9199E"/>
    <w:rsid w:val="00F92FBA"/>
    <w:rsid w:val="00F93E8D"/>
    <w:rsid w:val="00FA1016"/>
    <w:rsid w:val="00FA358C"/>
    <w:rsid w:val="00FA3823"/>
    <w:rsid w:val="00FA5DCE"/>
    <w:rsid w:val="00FA7EA1"/>
    <w:rsid w:val="00FB01FE"/>
    <w:rsid w:val="00FB0A08"/>
    <w:rsid w:val="00FB147E"/>
    <w:rsid w:val="00FB4D9C"/>
    <w:rsid w:val="00FB7FAB"/>
    <w:rsid w:val="00FC0A21"/>
    <w:rsid w:val="00FC1020"/>
    <w:rsid w:val="00FC3A34"/>
    <w:rsid w:val="00FC7F1F"/>
    <w:rsid w:val="00FD1A2E"/>
    <w:rsid w:val="00FD200E"/>
    <w:rsid w:val="00FD73D3"/>
    <w:rsid w:val="00FD7763"/>
    <w:rsid w:val="00FE7339"/>
    <w:rsid w:val="00FF12E6"/>
    <w:rsid w:val="00FF18E5"/>
    <w:rsid w:val="00FF394C"/>
    <w:rsid w:val="00FF3986"/>
  </w:rsids>
  <w:docVars>
    <w:docVar w:name="APWAFVersion" w:val="5.0"/>
  </w:docVars>
  <m:mathPr>
    <m:mathFont m:val="Cambria Math"/>
  </m:mathPr>
  <w:themeFontLang w:val="en-US" w:bidi="as-IN"/>
  <w:clrSchemeMapping w:bg1="light1" w:t1="dark1" w:bg2="light2" w:t2="dark2" w:accent1="accent1" w:accent2="accent2" w:accent3="accent3" w:accent4="accent4" w:accent5="accent5" w:accent6="accent6" w:hyperlink="hyperlink" w:followedHyperlink="followedHyperlink"/>
  <w15:chartTrackingRefBased/>
  <w15:docId w15:val="{FF3F3734-5D5E-4F8B-9623-BF5985E853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BodyText"/>
    <w:link w:val="Heading1Char"/>
    <w:qFormat/>
    <w:rsid w:val="00696134"/>
    <w:pPr>
      <w:spacing w:before="360" w:after="60" w:line="240" w:lineRule="atLeast"/>
      <w:ind w:left="340" w:hanging="340"/>
      <w:outlineLvl w:val="0"/>
    </w:pPr>
    <w:rPr>
      <w:rFonts w:ascii="Arial" w:eastAsia="Arial" w:hAnsi="Arial" w:cs="Times New Roman"/>
      <w:sz w:val="28"/>
      <w:szCs w:val="20"/>
      <w:lang w:val="en-GB"/>
    </w:rPr>
  </w:style>
  <w:style w:type="paragraph" w:styleId="Heading2">
    <w:name w:val="heading 2"/>
    <w:aliases w:val="W_HEADING2_"/>
    <w:basedOn w:val="WNormal"/>
    <w:next w:val="Normal"/>
    <w:link w:val="Heading2Char"/>
    <w:uiPriority w:val="9"/>
    <w:unhideWhenUsed/>
    <w:qFormat/>
    <w:rsid w:val="00A142A9"/>
    <w:pPr>
      <w:spacing w:after="20" w:line="276" w:lineRule="auto"/>
      <w:outlineLvl w:val="1"/>
    </w:pPr>
    <w:rPr>
      <w:b/>
      <w:bCs/>
      <w:caps/>
      <w:color w:val="0F172B"/>
      <w:sz w:val="20"/>
      <w:szCs w:val="20"/>
      <w:lang w:val="en-GB"/>
    </w:rPr>
  </w:style>
  <w:style w:type="paragraph" w:styleId="Heading3">
    <w:name w:val="heading 3"/>
    <w:next w:val="Normal"/>
    <w:link w:val="Heading3Char"/>
    <w:uiPriority w:val="9"/>
    <w:unhideWhenUsed/>
    <w:qFormat/>
    <w:rsid w:val="004A461A"/>
    <w:pPr>
      <w:spacing w:after="20" w:line="276" w:lineRule="auto"/>
      <w:outlineLvl w:val="2"/>
    </w:pPr>
    <w:rPr>
      <w:rFonts w:ascii="Arial" w:hAnsi="Arial" w:cs="Arial"/>
      <w:b/>
      <w:bCs/>
      <w:color w:val="0F172B"/>
      <w:spacing w:val="4"/>
      <w:sz w:val="17"/>
      <w:szCs w:val="17"/>
      <w:lang w:val="en-GB"/>
    </w:rPr>
  </w:style>
  <w:style w:type="paragraph" w:styleId="Heading4">
    <w:name w:val="heading 4"/>
    <w:next w:val="Normal"/>
    <w:link w:val="Heading4Char"/>
    <w:uiPriority w:val="9"/>
    <w:unhideWhenUsed/>
    <w:qFormat/>
    <w:rsid w:val="00EF6F8D"/>
    <w:pPr>
      <w:spacing w:before="80" w:after="20" w:line="276" w:lineRule="auto"/>
      <w:outlineLvl w:val="3"/>
    </w:pPr>
    <w:rPr>
      <w:rFonts w:ascii="Arial" w:eastAsia="Calibri" w:hAnsi="Arial" w:cs="Arial"/>
      <w:b/>
      <w:bCs/>
      <w:color w:val="0F172B"/>
      <w:spacing w:val="4"/>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WNormal">
    <w:name w:val="W_Normal"/>
    <w:qFormat/>
    <w:rsid w:val="0026008C"/>
    <w:rPr>
      <w:rFonts w:ascii="Arial" w:hAnsi="Arial" w:cs="Arial"/>
      <w:color w:val="111111"/>
      <w:sz w:val="16"/>
      <w:szCs w:val="16"/>
      <w:lang w:val="fi-FI"/>
    </w:rPr>
  </w:style>
  <w:style w:type="paragraph" w:styleId="Title">
    <w:name w:val="Title"/>
    <w:aliases w:val="W_Heading_1"/>
    <w:basedOn w:val="WNormal"/>
    <w:next w:val="Normal"/>
    <w:link w:val="DefaultParagraphFont"/>
    <w:uiPriority w:val="10"/>
    <w:qFormat/>
    <w:rsid w:val="00284DC3"/>
    <w:pPr>
      <w:spacing w:after="360" w:line="276" w:lineRule="auto"/>
    </w:pPr>
    <w:rPr>
      <w:b/>
      <w:bCs/>
      <w:color w:val="0F172B"/>
      <w:spacing w:val="-8"/>
      <w:sz w:val="40"/>
      <w:szCs w:val="40"/>
      <w:lang w:val="en-GB"/>
    </w:rPr>
  </w:style>
  <w:style w:type="character" w:styleId="Hyperlink">
    <w:name w:val="Hyperlink"/>
    <w:basedOn w:val="DefaultParagraphFont"/>
    <w:uiPriority w:val="99"/>
    <w:unhideWhenUsed/>
    <w:rsid w:val="0015313C"/>
    <w:rPr>
      <w:color w:val="0563C1" w:themeColor="hyperlink"/>
      <w:u w:val="single"/>
    </w:rPr>
  </w:style>
  <w:style w:type="paragraph" w:customStyle="1" w:styleId="WHeading20">
    <w:name w:val="W_Heading2"/>
    <w:qFormat/>
    <w:rsid w:val="0055291E"/>
    <w:pPr>
      <w:spacing w:after="20" w:line="276" w:lineRule="auto"/>
    </w:pPr>
    <w:rPr>
      <w:rFonts w:ascii="Arial" w:hAnsi="Arial" w:cs="Arial"/>
      <w:b/>
      <w:bCs/>
      <w:caps/>
      <w:color w:val="0F172B"/>
      <w:sz w:val="20"/>
      <w:szCs w:val="20"/>
      <w:lang w:val="en-GB"/>
    </w:rPr>
  </w:style>
  <w:style w:type="character" w:customStyle="1" w:styleId="Heading3Char">
    <w:name w:val="Heading 3 Char"/>
    <w:basedOn w:val="DefaultParagraphFont"/>
    <w:link w:val="Heading3"/>
    <w:uiPriority w:val="9"/>
    <w:rsid w:val="004A461A"/>
    <w:rPr>
      <w:rFonts w:ascii="Arial" w:hAnsi="Arial" w:cs="Arial"/>
      <w:b/>
      <w:bCs/>
      <w:color w:val="0F172B"/>
      <w:spacing w:val="4"/>
      <w:sz w:val="17"/>
      <w:szCs w:val="17"/>
      <w:lang w:val="en-GB"/>
    </w:rPr>
  </w:style>
  <w:style w:type="paragraph" w:customStyle="1" w:styleId="WHeading3">
    <w:name w:val="W_Heading3"/>
    <w:basedOn w:val="Heading3"/>
    <w:link w:val="WHeading3Char"/>
    <w:qFormat/>
    <w:rsid w:val="003F69CD"/>
  </w:style>
  <w:style w:type="character" w:customStyle="1" w:styleId="WHeading3Char">
    <w:name w:val="W_Heading3 Char"/>
    <w:basedOn w:val="Heading3Char"/>
    <w:link w:val="WHeading3"/>
    <w:rsid w:val="003F69CD"/>
  </w:style>
  <w:style w:type="paragraph" w:customStyle="1" w:styleId="WHeadingException1">
    <w:name w:val="W_Heading_Exception1"/>
    <w:qFormat/>
    <w:rsid w:val="009124E4"/>
    <w:pPr>
      <w:spacing w:after="20" w:line="276" w:lineRule="auto"/>
    </w:pPr>
    <w:rPr>
      <w:rFonts w:ascii="Arial" w:hAnsi="Arial" w:cs="Arial"/>
      <w:b/>
      <w:bCs/>
      <w:color w:val="0F172B"/>
      <w:spacing w:val="4"/>
      <w:sz w:val="17"/>
      <w:szCs w:val="17"/>
      <w:lang w:val="en-GB"/>
    </w:rPr>
  </w:style>
  <w:style w:type="character" w:styleId="BookTitle">
    <w:name w:val="Book Title"/>
    <w:uiPriority w:val="33"/>
    <w:qFormat/>
    <w:rsid w:val="00331EAF"/>
  </w:style>
  <w:style w:type="table" w:styleId="TableGrid">
    <w:name w:val="Table Grid"/>
    <w:basedOn w:val="TableNormal"/>
    <w:uiPriority w:val="39"/>
    <w:rsid w:val="005053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Heading4">
    <w:name w:val="W_Heading_4"/>
    <w:next w:val="Wnormal0"/>
    <w:link w:val="WHeading4Char"/>
    <w:uiPriority w:val="3"/>
    <w:qFormat/>
    <w:rsid w:val="00317456"/>
    <w:pPr>
      <w:spacing w:before="480" w:line="264" w:lineRule="auto"/>
      <w:outlineLvl w:val="2"/>
    </w:pPr>
    <w:rPr>
      <w:rFonts w:ascii="Arial" w:eastAsia="Arial" w:hAnsi="Arial" w:cs="Arial"/>
      <w:color w:val="000000"/>
      <w:sz w:val="24"/>
      <w:lang w:val="en-GB" w:eastAsia="fi-FI"/>
    </w:rPr>
  </w:style>
  <w:style w:type="paragraph" w:customStyle="1" w:styleId="Wnormal0">
    <w:name w:val="W_normal"/>
    <w:link w:val="WnormalChar"/>
    <w:uiPriority w:val="3"/>
    <w:qFormat/>
    <w:rsid w:val="00317456"/>
    <w:pPr>
      <w:spacing w:line="271" w:lineRule="auto"/>
    </w:pPr>
    <w:rPr>
      <w:rFonts w:ascii="Arial" w:eastAsia="Times New Roman" w:hAnsi="Arial" w:cs="Arial"/>
      <w:sz w:val="18"/>
      <w:lang w:val="en-GB" w:eastAsia="fi-FI"/>
    </w:rPr>
  </w:style>
  <w:style w:type="character" w:customStyle="1" w:styleId="WnormalChar">
    <w:name w:val="W_normal Char"/>
    <w:basedOn w:val="DefaultParagraphFont"/>
    <w:link w:val="Wnormal0"/>
    <w:uiPriority w:val="3"/>
    <w:rsid w:val="00317456"/>
    <w:rPr>
      <w:rFonts w:ascii="Arial" w:eastAsia="Times New Roman" w:hAnsi="Arial" w:cs="Arial"/>
      <w:sz w:val="18"/>
      <w:lang w:val="en-GB" w:eastAsia="fi-FI"/>
    </w:rPr>
  </w:style>
  <w:style w:type="character" w:customStyle="1" w:styleId="WHeading4Char">
    <w:name w:val="W_Heading_4 Char"/>
    <w:basedOn w:val="Heading3Char"/>
    <w:link w:val="WHeading4"/>
    <w:uiPriority w:val="3"/>
    <w:rsid w:val="00317456"/>
    <w:rPr>
      <w:rFonts w:eastAsia="Arial"/>
      <w:b w:val="0"/>
      <w:bCs w:val="0"/>
      <w:color w:val="000000"/>
      <w:spacing w:val="0"/>
      <w:sz w:val="24"/>
      <w:szCs w:val="22"/>
      <w:lang w:eastAsia="fi-FI"/>
    </w:rPr>
  </w:style>
  <w:style w:type="character" w:customStyle="1" w:styleId="SubtitleChar">
    <w:name w:val="Subtitle Char"/>
    <w:basedOn w:val="DefaultParagraphFont"/>
    <w:link w:val="Subtitle"/>
    <w:uiPriority w:val="11"/>
    <w:rsid w:val="00562264"/>
    <w:rPr>
      <w:rFonts w:ascii="Arial" w:hAnsi="Arial" w:cs="Arial"/>
      <w:b/>
      <w:bCs/>
      <w:color w:val="FF7321"/>
      <w:spacing w:val="4"/>
      <w:sz w:val="17"/>
      <w:szCs w:val="16"/>
      <w:lang w:val="en-GB"/>
    </w:rPr>
  </w:style>
  <w:style w:type="paragraph" w:styleId="Subtitle">
    <w:name w:val="Subtitle"/>
    <w:next w:val="Normal"/>
    <w:link w:val="SubtitleChar"/>
    <w:uiPriority w:val="11"/>
    <w:qFormat/>
    <w:rsid w:val="00562264"/>
    <w:pPr>
      <w:spacing w:after="20" w:line="276" w:lineRule="auto"/>
    </w:pPr>
    <w:rPr>
      <w:rFonts w:ascii="Arial" w:hAnsi="Arial" w:cs="Arial"/>
      <w:b/>
      <w:bCs/>
      <w:color w:val="FF7321"/>
      <w:spacing w:val="4"/>
      <w:sz w:val="17"/>
      <w:szCs w:val="16"/>
      <w:lang w:val="en-GB"/>
    </w:rPr>
  </w:style>
  <w:style w:type="character" w:styleId="Emphasis">
    <w:name w:val="Emphasis"/>
    <w:uiPriority w:val="20"/>
    <w:qFormat/>
    <w:rsid w:val="00423DED"/>
    <w:rPr>
      <w:b/>
      <w:bCs/>
      <w:color w:val="FF7321"/>
    </w:rPr>
  </w:style>
  <w:style w:type="character" w:styleId="Strong">
    <w:name w:val="Strong"/>
    <w:basedOn w:val="Emphasis"/>
    <w:uiPriority w:val="22"/>
    <w:qFormat/>
    <w:rsid w:val="00694193"/>
    <w:rPr>
      <w:rFonts w:ascii="Arial" w:hAnsi="Arial"/>
      <w:b/>
      <w:bCs/>
      <w:color w:val="FF7321"/>
      <w:spacing w:val="0"/>
      <w:sz w:val="16"/>
      <w:szCs w:val="16"/>
    </w:rPr>
  </w:style>
  <w:style w:type="paragraph" w:customStyle="1" w:styleId="WHeading40">
    <w:name w:val="W_Heading4"/>
    <w:qFormat/>
    <w:rsid w:val="00DC6DCA"/>
    <w:pPr>
      <w:spacing w:after="20" w:line="276" w:lineRule="auto"/>
    </w:pPr>
    <w:rPr>
      <w:rFonts w:ascii="Arial" w:eastAsia="Calibri" w:hAnsi="Arial" w:cs="Arial"/>
      <w:b/>
      <w:bCs/>
      <w:color w:val="0F172B"/>
      <w:spacing w:val="4"/>
      <w:sz w:val="16"/>
      <w:szCs w:val="16"/>
    </w:rPr>
  </w:style>
  <w:style w:type="character" w:customStyle="1" w:styleId="Heading4Char">
    <w:name w:val="Heading 4 Char"/>
    <w:basedOn w:val="DefaultParagraphFont"/>
    <w:link w:val="Heading4"/>
    <w:uiPriority w:val="9"/>
    <w:rsid w:val="00EF6F8D"/>
    <w:rPr>
      <w:rFonts w:ascii="Arial" w:eastAsia="Calibri" w:hAnsi="Arial" w:cs="Arial"/>
      <w:b/>
      <w:bCs/>
      <w:color w:val="0F172B"/>
      <w:spacing w:val="4"/>
      <w:sz w:val="16"/>
      <w:szCs w:val="16"/>
    </w:rPr>
  </w:style>
  <w:style w:type="paragraph" w:customStyle="1" w:styleId="WHeadingException3">
    <w:name w:val="W_Heading_Exception3"/>
    <w:uiPriority w:val="3"/>
    <w:qFormat/>
    <w:rsid w:val="00342E38"/>
    <w:pPr>
      <w:spacing w:before="360" w:after="120"/>
    </w:pPr>
    <w:rPr>
      <w:rFonts w:ascii="Arial" w:eastAsia="Arial" w:hAnsi="Arial" w:cs="Arial"/>
      <w:color w:val="0F172B"/>
      <w:sz w:val="28"/>
      <w:lang w:eastAsia="fi-FI"/>
    </w:rPr>
  </w:style>
  <w:style w:type="paragraph" w:customStyle="1" w:styleId="WChartText">
    <w:name w:val="W_Chart_Text"/>
    <w:qFormat/>
    <w:rsid w:val="001C1817"/>
    <w:rPr>
      <w:rFonts w:ascii="Arial" w:eastAsia="Calibri" w:hAnsi="Arial" w:cs="Arial"/>
      <w:color w:val="111111"/>
      <w:sz w:val="14"/>
      <w:szCs w:val="16"/>
      <w:lang w:val="fi-FI"/>
    </w:rPr>
  </w:style>
  <w:style w:type="paragraph" w:customStyle="1" w:styleId="Heading10">
    <w:name w:val="Heading 10"/>
    <w:next w:val="Normal"/>
    <w:link w:val="Heading10Char"/>
    <w:qFormat/>
    <w:rsid w:val="00F54053"/>
    <w:pPr>
      <w:keepNext/>
      <w:keepLines/>
      <w:spacing w:after="360" w:line="276" w:lineRule="auto"/>
    </w:pPr>
    <w:rPr>
      <w:rFonts w:ascii="Arial" w:hAnsi="Arial" w:cs="Arial"/>
      <w:b/>
      <w:color w:val="0E172B"/>
      <w:sz w:val="36"/>
      <w:szCs w:val="17"/>
    </w:rPr>
  </w:style>
  <w:style w:type="character" w:customStyle="1" w:styleId="Heading10Char">
    <w:name w:val="Heading 10 Char"/>
    <w:basedOn w:val="DefaultParagraphFont"/>
    <w:link w:val="Heading10"/>
    <w:rsid w:val="00F54053"/>
    <w:rPr>
      <w:rFonts w:ascii="Arial" w:hAnsi="Arial" w:cs="Arial"/>
      <w:b/>
      <w:color w:val="0E172B"/>
      <w:sz w:val="36"/>
      <w:szCs w:val="17"/>
    </w:rPr>
  </w:style>
  <w:style w:type="paragraph" w:customStyle="1" w:styleId="Bodytext2">
    <w:name w:val="Bodytext 2"/>
    <w:link w:val="Bodytext2Char"/>
    <w:qFormat/>
    <w:rsid w:val="005E6BF9"/>
    <w:pPr>
      <w:suppressAutoHyphens/>
      <w:spacing w:before="48" w:after="0" w:line="276" w:lineRule="auto"/>
    </w:pPr>
    <w:rPr>
      <w:rFonts w:ascii="Arial" w:hAnsi="Arial" w:cs="Arial"/>
      <w:color w:val="111111"/>
      <w:sz w:val="15"/>
      <w:szCs w:val="17"/>
    </w:rPr>
  </w:style>
  <w:style w:type="character" w:customStyle="1" w:styleId="Bodytext2Char">
    <w:name w:val="Bodytext 2 Char"/>
    <w:basedOn w:val="WnormalChar"/>
    <w:link w:val="Bodytext2"/>
    <w:rsid w:val="005E6BF9"/>
    <w:rPr>
      <w:rFonts w:eastAsiaTheme="minorHAnsi"/>
      <w:color w:val="111111"/>
      <w:spacing w:val="2"/>
      <w:sz w:val="15"/>
      <w:szCs w:val="17"/>
      <w:lang w:val="en-US" w:eastAsia="en-US"/>
    </w:rPr>
  </w:style>
  <w:style w:type="paragraph" w:customStyle="1" w:styleId="Heading13">
    <w:name w:val="Heading 13"/>
    <w:next w:val="Normal"/>
    <w:link w:val="Heading13Char"/>
    <w:qFormat/>
    <w:rsid w:val="002C6657"/>
    <w:pPr>
      <w:suppressAutoHyphens/>
      <w:spacing w:before="48" w:after="0" w:line="276" w:lineRule="auto"/>
    </w:pPr>
    <w:rPr>
      <w:rFonts w:ascii="Arial" w:hAnsi="Arial"/>
      <w:b/>
      <w:color w:val="000000"/>
      <w:sz w:val="15"/>
    </w:rPr>
  </w:style>
  <w:style w:type="character" w:customStyle="1" w:styleId="Heading13Char">
    <w:name w:val="Heading 13 Char"/>
    <w:basedOn w:val="DefaultParagraphFont"/>
    <w:link w:val="Heading13"/>
    <w:rsid w:val="002C6657"/>
    <w:rPr>
      <w:rFonts w:ascii="Arial" w:hAnsi="Arial"/>
      <w:b/>
      <w:color w:val="000000"/>
      <w:sz w:val="15"/>
    </w:rPr>
  </w:style>
  <w:style w:type="table" w:customStyle="1" w:styleId="TableGrid0">
    <w:name w:val="TableGrid"/>
    <w:rsid w:val="00022155"/>
    <w:pPr>
      <w:spacing w:after="0" w:line="240" w:lineRule="auto"/>
    </w:pPr>
    <w:rPr>
      <w:rFonts w:eastAsiaTheme="minorEastAsia" w:cstheme="minorHAnsi"/>
      <w:lang w:val="fi-FI" w:eastAsia="fi-FI"/>
    </w:rPr>
    <w:tblPr>
      <w:tblCellMar>
        <w:top w:w="0" w:type="dxa"/>
        <w:left w:w="0" w:type="dxa"/>
        <w:bottom w:w="0" w:type="dxa"/>
        <w:right w:w="0" w:type="dxa"/>
      </w:tblCellMar>
    </w:tblPr>
  </w:style>
  <w:style w:type="paragraph" w:customStyle="1" w:styleId="Heading11">
    <w:name w:val="Heading 11"/>
    <w:next w:val="Normal"/>
    <w:link w:val="Heading11Char"/>
    <w:qFormat/>
    <w:rsid w:val="00BF678B"/>
    <w:pPr>
      <w:spacing w:after="220" w:line="276" w:lineRule="auto"/>
    </w:pPr>
    <w:rPr>
      <w:rFonts w:ascii="Arial" w:hAnsi="Arial"/>
      <w:b/>
      <w:color w:val="0E172B"/>
    </w:rPr>
  </w:style>
  <w:style w:type="character" w:customStyle="1" w:styleId="Heading11Char">
    <w:name w:val="Heading 11 Char"/>
    <w:basedOn w:val="DefaultParagraphFont"/>
    <w:link w:val="Heading11"/>
    <w:rsid w:val="00BF678B"/>
    <w:rPr>
      <w:rFonts w:ascii="Arial" w:hAnsi="Arial"/>
      <w:b/>
      <w:color w:val="0E172B"/>
    </w:rPr>
  </w:style>
  <w:style w:type="paragraph" w:customStyle="1" w:styleId="Heading105">
    <w:name w:val="Heading 105"/>
    <w:basedOn w:val="Heading11"/>
    <w:next w:val="Heading11"/>
    <w:link w:val="Heading105Char"/>
    <w:uiPriority w:val="3"/>
    <w:qFormat/>
    <w:rsid w:val="00AC3580"/>
    <w:rPr>
      <w:sz w:val="28"/>
    </w:rPr>
  </w:style>
  <w:style w:type="character" w:customStyle="1" w:styleId="Heading105Char">
    <w:name w:val="Heading 105 Char"/>
    <w:basedOn w:val="Heading10Char"/>
    <w:link w:val="Heading105"/>
    <w:uiPriority w:val="3"/>
    <w:rsid w:val="00AC3580"/>
    <w:rPr>
      <w:sz w:val="28"/>
    </w:rPr>
  </w:style>
  <w:style w:type="table" w:customStyle="1" w:styleId="CDMRange1">
    <w:name w:val="CDM Range 1"/>
    <w:basedOn w:val="TableNormal"/>
    <w:next w:val="TableNormal"/>
    <w:semiHidden/>
    <w:pPr>
      <w:spacing w:after="0" w:line="240" w:lineRule="auto"/>
    </w:pPr>
    <w:rPr>
      <w:rFonts w:ascii="Times New Roman" w:eastAsia="Times New Roman" w:hAnsi="Times New Roman" w:cs="Times New Roman"/>
      <w:sz w:val="20"/>
      <w:szCs w:val="20"/>
    </w:rPr>
    <w:tblPr/>
  </w:style>
  <w:style w:type="table" w:customStyle="1" w:styleId="CDMRange2">
    <w:name w:val="CDM Range 2"/>
    <w:basedOn w:val="TableNormal"/>
    <w:next w:val="TableNormal"/>
    <w:semiHidden/>
    <w:pPr>
      <w:spacing w:after="0" w:line="240" w:lineRule="auto"/>
    </w:pPr>
    <w:rPr>
      <w:rFonts w:ascii="Times New Roman" w:eastAsia="Times New Roman" w:hAnsi="Times New Roman" w:cs="Times New Roman"/>
      <w:sz w:val="20"/>
      <w:szCs w:val="20"/>
    </w:rPr>
    <w:tblPr/>
  </w:style>
  <w:style w:type="paragraph" w:customStyle="1" w:styleId="Heading12">
    <w:name w:val="Heading 12"/>
    <w:next w:val="Normal"/>
    <w:link w:val="Heading12Char"/>
    <w:qFormat/>
    <w:rsid w:val="006252FD"/>
    <w:pPr>
      <w:spacing w:after="0" w:line="276" w:lineRule="auto"/>
    </w:pPr>
    <w:rPr>
      <w:rFonts w:ascii="Arial" w:hAnsi="Arial"/>
      <w:b/>
      <w:color w:val="0E172B"/>
      <w:sz w:val="17"/>
    </w:rPr>
  </w:style>
  <w:style w:type="character" w:customStyle="1" w:styleId="Heading12Char">
    <w:name w:val="Heading 12 Char"/>
    <w:basedOn w:val="DefaultParagraphFont"/>
    <w:link w:val="Heading12"/>
    <w:rsid w:val="006252FD"/>
    <w:rPr>
      <w:rFonts w:ascii="Arial" w:hAnsi="Arial"/>
      <w:b/>
      <w:color w:val="0E172B"/>
      <w:sz w:val="17"/>
    </w:rPr>
  </w:style>
  <w:style w:type="paragraph" w:customStyle="1" w:styleId="01body1">
    <w:name w:val="01_body_1"/>
    <w:basedOn w:val="Normal"/>
    <w:rsid w:val="00231CA1"/>
    <w:pPr>
      <w:tabs>
        <w:tab w:val="left" w:pos="113"/>
        <w:tab w:val="left" w:pos="440"/>
      </w:tabs>
      <w:autoSpaceDE w:val="0"/>
      <w:autoSpaceDN w:val="0"/>
      <w:adjustRightInd w:val="0"/>
      <w:spacing w:after="0" w:line="230" w:lineRule="atLeast"/>
    </w:pPr>
    <w:rPr>
      <w:rFonts w:ascii="Helvetica Neue LT Std 45 Light" w:eastAsia="Times New Roman" w:hAnsi="Helvetica Neue LT Std 45 Light" w:cs="Helvetica Neue LT Std 45 Light"/>
      <w:color w:val="000000"/>
      <w:sz w:val="17"/>
      <w:szCs w:val="17"/>
      <w:lang w:eastAsia="en-GB"/>
    </w:rPr>
  </w:style>
  <w:style w:type="character" w:customStyle="1" w:styleId="WAuditH1Char">
    <w:name w:val="W_Audit_H1 Char"/>
    <w:basedOn w:val="DefaultParagraphFont"/>
    <w:link w:val="WAuditH1"/>
    <w:rsid w:val="00CD28B6"/>
    <w:rPr>
      <w:rFonts w:ascii="Georgia" w:eastAsia="Arial" w:hAnsi="Georgia" w:cs="Times New Roman"/>
      <w:color w:val="DC6900"/>
      <w:sz w:val="36"/>
      <w:szCs w:val="28"/>
    </w:rPr>
  </w:style>
  <w:style w:type="paragraph" w:customStyle="1" w:styleId="WAuditH1">
    <w:name w:val="W_Audit_H1"/>
    <w:basedOn w:val="Normal"/>
    <w:link w:val="WAuditH1Char"/>
    <w:qFormat/>
    <w:rsid w:val="00CD28B6"/>
    <w:pPr>
      <w:spacing w:after="240" w:line="240" w:lineRule="atLeast"/>
    </w:pPr>
    <w:rPr>
      <w:rFonts w:ascii="Georgia" w:eastAsia="Arial" w:hAnsi="Georgia" w:cs="Times New Roman"/>
      <w:color w:val="DC6900"/>
      <w:sz w:val="36"/>
      <w:szCs w:val="28"/>
    </w:rPr>
  </w:style>
  <w:style w:type="character" w:customStyle="1" w:styleId="WAuditH15Char">
    <w:name w:val="W_Audit_H15 Char"/>
    <w:basedOn w:val="DefaultParagraphFont"/>
    <w:link w:val="WAuditH15"/>
    <w:rsid w:val="00CD28B6"/>
    <w:rPr>
      <w:rFonts w:ascii="Georgia" w:eastAsia="Arial" w:hAnsi="Georgia" w:cs="Times New Roman"/>
      <w:color w:val="DC6900"/>
      <w:sz w:val="32"/>
      <w:szCs w:val="32"/>
    </w:rPr>
  </w:style>
  <w:style w:type="paragraph" w:customStyle="1" w:styleId="WAuditH15">
    <w:name w:val="W_Audit_H15"/>
    <w:basedOn w:val="Normal"/>
    <w:link w:val="WAuditH15Char"/>
    <w:qFormat/>
    <w:rsid w:val="00CD28B6"/>
    <w:pPr>
      <w:spacing w:after="240" w:line="240" w:lineRule="atLeast"/>
    </w:pPr>
    <w:rPr>
      <w:rFonts w:ascii="Georgia" w:eastAsia="Arial" w:hAnsi="Georgia" w:cs="Times New Roman"/>
      <w:color w:val="DC6900"/>
      <w:sz w:val="32"/>
      <w:szCs w:val="32"/>
    </w:rPr>
  </w:style>
  <w:style w:type="paragraph" w:customStyle="1" w:styleId="WAuditBodyText">
    <w:name w:val="W_Audit_BodyText"/>
    <w:basedOn w:val="Normal"/>
    <w:link w:val="WAuditBodyTextChar"/>
    <w:qFormat/>
    <w:rsid w:val="00D07539"/>
    <w:pPr>
      <w:suppressAutoHyphens/>
      <w:spacing w:after="180" w:line="240" w:lineRule="atLeast"/>
    </w:pPr>
    <w:rPr>
      <w:rFonts w:ascii="Arial" w:eastAsia="Arial" w:hAnsi="Arial" w:cs="Times New Roman"/>
      <w:sz w:val="20"/>
      <w:szCs w:val="20"/>
    </w:rPr>
  </w:style>
  <w:style w:type="character" w:customStyle="1" w:styleId="WAuditBodyTextChar">
    <w:name w:val="W_Audit_BodyText Char"/>
    <w:basedOn w:val="DefaultParagraphFont"/>
    <w:link w:val="WAuditBodyText"/>
    <w:rsid w:val="00D07539"/>
    <w:rPr>
      <w:rFonts w:ascii="Arial" w:eastAsia="Arial" w:hAnsi="Arial" w:cs="Times New Roman"/>
      <w:sz w:val="20"/>
      <w:szCs w:val="20"/>
    </w:rPr>
  </w:style>
  <w:style w:type="paragraph" w:customStyle="1" w:styleId="WAuditH2">
    <w:name w:val="W_Audit_H2"/>
    <w:basedOn w:val="Normal"/>
    <w:link w:val="WAuditH2Char"/>
    <w:qFormat/>
    <w:rsid w:val="00CD28B6"/>
    <w:pPr>
      <w:spacing w:before="360" w:after="60" w:line="240" w:lineRule="atLeast"/>
      <w:ind w:left="340" w:hanging="340"/>
      <w:outlineLvl w:val="0"/>
    </w:pPr>
    <w:rPr>
      <w:rFonts w:ascii="Arial" w:eastAsia="Arial" w:hAnsi="Arial" w:cs="Times New Roman"/>
      <w:sz w:val="28"/>
      <w:szCs w:val="20"/>
    </w:rPr>
  </w:style>
  <w:style w:type="character" w:customStyle="1" w:styleId="WAuditH2Char">
    <w:name w:val="W_Audit_H2 Char"/>
    <w:basedOn w:val="DefaultParagraphFont"/>
    <w:link w:val="WAuditH2"/>
    <w:rsid w:val="00CD28B6"/>
    <w:rPr>
      <w:rFonts w:ascii="Arial" w:eastAsia="Arial" w:hAnsi="Arial" w:cs="Times New Roman"/>
      <w:sz w:val="28"/>
      <w:szCs w:val="20"/>
    </w:rPr>
  </w:style>
  <w:style w:type="paragraph" w:customStyle="1" w:styleId="WAuditH3">
    <w:name w:val="W_Audit_H3"/>
    <w:basedOn w:val="Normal"/>
    <w:link w:val="WAuditH3Char"/>
    <w:qFormat/>
    <w:rsid w:val="00CD28B6"/>
    <w:pPr>
      <w:keepNext/>
      <w:pBdr>
        <w:top w:val="single" w:sz="4" w:space="3" w:color="DC6900"/>
      </w:pBdr>
      <w:suppressAutoHyphens/>
      <w:spacing w:before="240" w:after="60" w:line="240" w:lineRule="atLeast"/>
      <w:outlineLvl w:val="1"/>
    </w:pPr>
    <w:rPr>
      <w:rFonts w:ascii="Arial" w:eastAsia="Arial" w:hAnsi="Arial" w:cs="Times New Roman"/>
      <w:color w:val="DC6900"/>
      <w:sz w:val="24"/>
      <w:szCs w:val="20"/>
    </w:rPr>
  </w:style>
  <w:style w:type="character" w:customStyle="1" w:styleId="WAuditH3Char">
    <w:name w:val="W_Audit_H3 Char"/>
    <w:basedOn w:val="DefaultParagraphFont"/>
    <w:link w:val="WAuditH3"/>
    <w:rsid w:val="00CD28B6"/>
    <w:rPr>
      <w:rFonts w:ascii="Arial" w:eastAsia="Arial" w:hAnsi="Arial" w:cs="Times New Roman"/>
      <w:color w:val="DC6900"/>
      <w:sz w:val="24"/>
      <w:szCs w:val="20"/>
    </w:rPr>
  </w:style>
  <w:style w:type="paragraph" w:customStyle="1" w:styleId="WAuditH6">
    <w:name w:val="W_Audit_H6"/>
    <w:basedOn w:val="WAuditBodyText"/>
    <w:link w:val="WAuditH6Char"/>
    <w:qFormat/>
    <w:rsid w:val="00FB01FE"/>
    <w:pPr>
      <w:numPr>
        <w:numId w:val="3"/>
      </w:numPr>
      <w:spacing w:after="240"/>
      <w:ind w:left="357" w:hanging="357"/>
    </w:pPr>
  </w:style>
  <w:style w:type="character" w:customStyle="1" w:styleId="WAuditH6Char">
    <w:name w:val="W_Audit_H6 Char"/>
    <w:basedOn w:val="WAuditBodyTextChar"/>
    <w:link w:val="WAuditH6"/>
    <w:rsid w:val="00FB01FE"/>
  </w:style>
  <w:style w:type="paragraph" w:customStyle="1" w:styleId="WAuditH4">
    <w:name w:val="W_Audit_H4"/>
    <w:basedOn w:val="Normal"/>
    <w:link w:val="WAuditH4Char"/>
    <w:qFormat/>
    <w:rsid w:val="00CD28B6"/>
    <w:pPr>
      <w:keepNext/>
      <w:numPr>
        <w:ilvl w:val="2"/>
      </w:numPr>
      <w:suppressAutoHyphens/>
      <w:spacing w:before="240" w:after="60" w:line="240" w:lineRule="atLeast"/>
      <w:outlineLvl w:val="2"/>
    </w:pPr>
    <w:rPr>
      <w:rFonts w:ascii="Arial" w:eastAsia="Arial" w:hAnsi="Arial" w:cs="Times New Roman"/>
      <w:b/>
      <w:color w:val="000000"/>
      <w:sz w:val="20"/>
      <w:szCs w:val="20"/>
    </w:rPr>
  </w:style>
  <w:style w:type="character" w:customStyle="1" w:styleId="WAuditH4Char">
    <w:name w:val="W_Audit_H4 Char"/>
    <w:basedOn w:val="DefaultParagraphFont"/>
    <w:link w:val="WAuditH4"/>
    <w:rsid w:val="00CD28B6"/>
    <w:rPr>
      <w:rFonts w:ascii="Arial" w:eastAsia="Arial" w:hAnsi="Arial" w:cs="Times New Roman"/>
      <w:b/>
      <w:color w:val="000000"/>
      <w:sz w:val="20"/>
      <w:szCs w:val="20"/>
    </w:rPr>
  </w:style>
  <w:style w:type="paragraph" w:customStyle="1" w:styleId="WAuditH9">
    <w:name w:val="W_Audit_H9"/>
    <w:basedOn w:val="WAuditBodyText"/>
    <w:link w:val="WAuditH9Char"/>
    <w:qFormat/>
    <w:rsid w:val="0052585C"/>
    <w:pPr>
      <w:numPr>
        <w:numId w:val="4"/>
      </w:numPr>
      <w:spacing w:before="60" w:after="60" w:line="264" w:lineRule="auto"/>
      <w:ind w:left="340" w:hanging="340"/>
    </w:pPr>
  </w:style>
  <w:style w:type="character" w:customStyle="1" w:styleId="WAuditH9Char">
    <w:name w:val="W_Audit_H9 Char"/>
    <w:basedOn w:val="WAuditBodyTextChar"/>
    <w:link w:val="WAuditH9"/>
    <w:rsid w:val="0052585C"/>
  </w:style>
  <w:style w:type="table" w:customStyle="1" w:styleId="PwCTableFigures">
    <w:name w:val="PwC Table Figures"/>
    <w:basedOn w:val="TableNormal"/>
    <w:uiPriority w:val="99"/>
    <w:qFormat/>
    <w:rsid w:val="00A954A9"/>
    <w:pPr>
      <w:spacing w:after="0" w:line="240" w:lineRule="auto"/>
    </w:pPr>
    <w:rPr>
      <w:sz w:val="20"/>
      <w:szCs w:val="20"/>
      <w:lang w:val="en-GB"/>
    </w:rPr>
    <w:tblPr>
      <w:tblBorders>
        <w:bottom w:val="single" w:sz="4" w:space="0" w:color="DC6900"/>
        <w:insideH w:val="dotted" w:sz="4" w:space="0" w:color="DC6900"/>
      </w:tblBorders>
      <w:tblCellMar>
        <w:top w:w="57" w:type="dxa"/>
      </w:tblCellMar>
    </w:tblPr>
    <w:tblStylePr w:type="firstRow">
      <w:rPr>
        <w:b/>
      </w:rPr>
      <w:tblPr/>
      <w:tcPr>
        <w:tcBorders>
          <w:top w:val="single" w:sz="6" w:space="0" w:color="DC6900"/>
          <w:left w:val="nil"/>
          <w:bottom w:val="single" w:sz="6" w:space="0" w:color="DC6900"/>
          <w:right w:val="nil"/>
          <w:insideH w:val="nil"/>
          <w:insideV w:val="nil"/>
          <w:tl2br w:val="nil"/>
          <w:tr2bl w:val="nil"/>
        </w:tcBorders>
      </w:tcPr>
    </w:tblStylePr>
    <w:tblStylePr w:type="lastRow">
      <w:rPr>
        <w:rFonts w:ascii="Arial" w:hAnsi="Arial"/>
        <w:b/>
        <w:i w:val="0"/>
        <w:color w:val="auto"/>
        <w:sz w:val="20"/>
      </w:rPr>
      <w:tblPr/>
      <w:tcPr>
        <w:tcBorders>
          <w:top w:val="single" w:sz="6" w:space="0" w:color="DC6900"/>
          <w:left w:val="nil"/>
          <w:bottom w:val="single" w:sz="6" w:space="0" w:color="DC6900"/>
          <w:right w:val="nil"/>
          <w:insideH w:val="nil"/>
          <w:insideV w:val="nil"/>
          <w:tl2br w:val="nil"/>
          <w:tr2bl w:val="nil"/>
        </w:tcBorders>
      </w:tcPr>
    </w:tblStylePr>
  </w:style>
  <w:style w:type="paragraph" w:customStyle="1" w:styleId="WAuditH8">
    <w:name w:val="W_Audit_H8"/>
    <w:basedOn w:val="WAuditBodyText"/>
    <w:link w:val="WAuditH8Char"/>
    <w:qFormat/>
    <w:rsid w:val="0052585C"/>
    <w:pPr>
      <w:spacing w:before="60" w:after="60" w:line="264" w:lineRule="auto"/>
    </w:pPr>
  </w:style>
  <w:style w:type="character" w:customStyle="1" w:styleId="WAuditH8Char">
    <w:name w:val="W_Audit_H8 Char"/>
    <w:basedOn w:val="WAuditBodyTextChar"/>
    <w:link w:val="WAuditH8"/>
    <w:rsid w:val="0052585C"/>
  </w:style>
  <w:style w:type="paragraph" w:styleId="Header">
    <w:name w:val="header"/>
    <w:basedOn w:val="Normal"/>
    <w:link w:val="HeaderChar"/>
    <w:uiPriority w:val="99"/>
    <w:semiHidden/>
    <w:unhideWhenUsed/>
    <w:rsid w:val="00A954A9"/>
    <w:pPr>
      <w:tabs>
        <w:tab w:val="center" w:pos="4819"/>
        <w:tab w:val="right" w:pos="9638"/>
      </w:tabs>
      <w:spacing w:after="0" w:line="240" w:lineRule="auto"/>
    </w:pPr>
    <w:rPr>
      <w:lang w:val="en-GB"/>
    </w:rPr>
  </w:style>
  <w:style w:type="character" w:customStyle="1" w:styleId="HeaderChar">
    <w:name w:val="Header Char"/>
    <w:basedOn w:val="DefaultParagraphFont"/>
    <w:link w:val="Header"/>
    <w:uiPriority w:val="99"/>
    <w:semiHidden/>
    <w:rsid w:val="00A954A9"/>
    <w:rPr>
      <w:lang w:val="en-GB"/>
    </w:rPr>
  </w:style>
  <w:style w:type="paragraph" w:styleId="Footer">
    <w:name w:val="footer"/>
    <w:basedOn w:val="Normal"/>
    <w:link w:val="FooterChar"/>
    <w:uiPriority w:val="99"/>
    <w:semiHidden/>
    <w:unhideWhenUsed/>
    <w:rsid w:val="00A954A9"/>
    <w:pPr>
      <w:tabs>
        <w:tab w:val="center" w:pos="4819"/>
        <w:tab w:val="right" w:pos="9638"/>
      </w:tabs>
      <w:spacing w:after="0" w:line="240" w:lineRule="auto"/>
    </w:pPr>
    <w:rPr>
      <w:lang w:val="en-GB"/>
    </w:rPr>
  </w:style>
  <w:style w:type="character" w:customStyle="1" w:styleId="FooterChar">
    <w:name w:val="Footer Char"/>
    <w:basedOn w:val="DefaultParagraphFont"/>
    <w:link w:val="Footer"/>
    <w:uiPriority w:val="99"/>
    <w:semiHidden/>
    <w:rsid w:val="00A954A9"/>
    <w:rPr>
      <w:lang w:val="en-GB"/>
    </w:rPr>
  </w:style>
  <w:style w:type="paragraph" w:customStyle="1" w:styleId="Maintitle">
    <w:name w:val="Main title"/>
    <w:basedOn w:val="Normal"/>
    <w:next w:val="BodyText"/>
    <w:link w:val="MaintitleChar"/>
    <w:qFormat/>
    <w:rsid w:val="00696134"/>
    <w:pPr>
      <w:spacing w:after="240" w:line="240" w:lineRule="atLeast"/>
    </w:pPr>
    <w:rPr>
      <w:rFonts w:ascii="Georgia" w:eastAsia="Arial" w:hAnsi="Georgia" w:cs="Times New Roman"/>
      <w:color w:val="DC6900"/>
      <w:sz w:val="36"/>
      <w:szCs w:val="28"/>
      <w:lang w:val="fi-FI"/>
    </w:rPr>
  </w:style>
  <w:style w:type="paragraph" w:styleId="BodyText">
    <w:name w:val="Body Text"/>
    <w:basedOn w:val="Normal"/>
    <w:link w:val="BodyTextChar"/>
    <w:uiPriority w:val="99"/>
    <w:unhideWhenUsed/>
    <w:qFormat/>
    <w:rsid w:val="00696134"/>
    <w:pPr>
      <w:spacing w:after="180" w:line="240" w:lineRule="atLeast"/>
    </w:pPr>
    <w:rPr>
      <w:rFonts w:ascii="Arial" w:eastAsia="Arial" w:hAnsi="Arial" w:cs="Times New Roman"/>
      <w:sz w:val="20"/>
      <w:szCs w:val="20"/>
      <w:lang w:val="fi-FI"/>
    </w:rPr>
  </w:style>
  <w:style w:type="character" w:customStyle="1" w:styleId="BodyTextChar">
    <w:name w:val="Body Text Char"/>
    <w:basedOn w:val="DefaultParagraphFont"/>
    <w:link w:val="BodyText"/>
    <w:uiPriority w:val="99"/>
    <w:rsid w:val="00696134"/>
    <w:rPr>
      <w:rFonts w:ascii="Arial" w:eastAsia="Arial" w:hAnsi="Arial" w:cs="Times New Roman"/>
      <w:sz w:val="20"/>
      <w:szCs w:val="20"/>
      <w:lang w:val="fi-FI"/>
    </w:rPr>
  </w:style>
  <w:style w:type="character" w:customStyle="1" w:styleId="MaintitleChar">
    <w:name w:val="Main title Char"/>
    <w:basedOn w:val="DefaultParagraphFont"/>
    <w:link w:val="Maintitle"/>
    <w:rsid w:val="00E55F0B"/>
    <w:rPr>
      <w:rFonts w:ascii="Georgia" w:eastAsia="Arial" w:hAnsi="Georgia" w:cs="Times New Roman"/>
      <w:color w:val="DC6900"/>
      <w:sz w:val="36"/>
      <w:szCs w:val="28"/>
      <w:lang w:val="fi-FI"/>
    </w:rPr>
  </w:style>
  <w:style w:type="paragraph" w:customStyle="1" w:styleId="WAudit2H1">
    <w:name w:val="W_Audit2_H1"/>
    <w:basedOn w:val="Maintitle"/>
    <w:link w:val="WAudit2H1Char"/>
    <w:uiPriority w:val="99"/>
    <w:qFormat/>
    <w:rsid w:val="00E55F0B"/>
    <w:rPr>
      <w:bCs/>
      <w:iCs/>
      <w:sz w:val="32"/>
      <w:szCs w:val="32"/>
      <w:lang w:val="en-US"/>
    </w:rPr>
  </w:style>
  <w:style w:type="character" w:customStyle="1" w:styleId="WAudit2H1Char">
    <w:name w:val="W_Audit2_H1 Char"/>
    <w:basedOn w:val="MaintitleChar"/>
    <w:link w:val="WAudit2H1"/>
    <w:uiPriority w:val="99"/>
    <w:rsid w:val="00E55F0B"/>
    <w:rPr>
      <w:bCs/>
      <w:iCs/>
      <w:sz w:val="32"/>
      <w:szCs w:val="32"/>
      <w:lang w:val="en-US"/>
    </w:rPr>
  </w:style>
  <w:style w:type="paragraph" w:customStyle="1" w:styleId="WAudit2BodyText">
    <w:name w:val="W_Audit2_BodyText"/>
    <w:basedOn w:val="Normal"/>
    <w:link w:val="WAudit2BodyTextChar"/>
    <w:uiPriority w:val="99"/>
    <w:qFormat/>
    <w:rsid w:val="00C20A21"/>
    <w:pPr>
      <w:spacing w:after="0" w:line="240" w:lineRule="auto"/>
    </w:pPr>
    <w:rPr>
      <w:rFonts w:ascii="Arial" w:eastAsia="Times New Roman" w:hAnsi="Arial" w:cs="Arial"/>
      <w:sz w:val="20"/>
      <w:szCs w:val="20"/>
      <w:lang w:val="en-GB" w:eastAsia="zh-CN"/>
    </w:rPr>
  </w:style>
  <w:style w:type="character" w:customStyle="1" w:styleId="WAudit2BodyTextChar">
    <w:name w:val="W_Audit2_BodyText Char"/>
    <w:basedOn w:val="DefaultParagraphFont"/>
    <w:link w:val="WAudit2BodyText"/>
    <w:uiPriority w:val="99"/>
    <w:rsid w:val="00C20A21"/>
    <w:rPr>
      <w:rFonts w:ascii="Arial" w:eastAsia="Times New Roman" w:hAnsi="Arial" w:cs="Arial"/>
      <w:sz w:val="20"/>
      <w:szCs w:val="20"/>
      <w:lang w:val="en-GB" w:eastAsia="zh-CN"/>
    </w:rPr>
  </w:style>
  <w:style w:type="paragraph" w:customStyle="1" w:styleId="WAudit2H2">
    <w:name w:val="W_Audit2_H2"/>
    <w:basedOn w:val="Heading2"/>
    <w:link w:val="WAudit2H2Char"/>
    <w:uiPriority w:val="99"/>
    <w:qFormat/>
    <w:rsid w:val="00E55F0B"/>
    <w:pPr>
      <w:keepNext/>
      <w:pBdr>
        <w:top w:val="single" w:sz="4" w:space="3" w:color="DC6900"/>
      </w:pBdr>
      <w:spacing w:before="240" w:after="60" w:line="240" w:lineRule="atLeast"/>
      <w:ind w:left="680" w:hanging="680"/>
    </w:pPr>
    <w:rPr>
      <w:rFonts w:eastAsia="Arial" w:cs="Times New Roman"/>
      <w:b w:val="0"/>
      <w:bCs w:val="0"/>
      <w:caps w:val="0"/>
      <w:color w:val="DC6900"/>
      <w:sz w:val="24"/>
      <w:lang w:val="en-US" w:eastAsia="zh-CN"/>
    </w:rPr>
  </w:style>
  <w:style w:type="character" w:customStyle="1" w:styleId="Heading2Char">
    <w:name w:val="Heading 2 Char"/>
    <w:basedOn w:val="DefaultParagraphFont"/>
    <w:link w:val="Heading2"/>
    <w:uiPriority w:val="9"/>
    <w:rsid w:val="004C47C2"/>
    <w:rPr>
      <w:rFonts w:ascii="Georgia" w:eastAsia="Arial" w:hAnsi="Georgia" w:cs="Times New Roman"/>
      <w:i/>
      <w:color w:val="DC6900"/>
      <w:sz w:val="24"/>
      <w:szCs w:val="20"/>
      <w:lang w:val="fi-FI"/>
    </w:rPr>
  </w:style>
  <w:style w:type="character" w:customStyle="1" w:styleId="Heading1Char">
    <w:name w:val="Heading 1 Char"/>
    <w:basedOn w:val="DefaultParagraphFont"/>
    <w:link w:val="Heading1"/>
    <w:rsid w:val="00696134"/>
    <w:rPr>
      <w:rFonts w:ascii="Arial" w:eastAsia="Arial" w:hAnsi="Arial" w:cs="Times New Roman"/>
      <w:sz w:val="28"/>
      <w:szCs w:val="20"/>
      <w:lang w:val="en-GB"/>
    </w:rPr>
  </w:style>
  <w:style w:type="character" w:customStyle="1" w:styleId="WAudit2H2Char">
    <w:name w:val="W_Audit2_H2 Char"/>
    <w:basedOn w:val="Heading2Char"/>
    <w:link w:val="WAudit2H2"/>
    <w:uiPriority w:val="99"/>
    <w:rsid w:val="00E55F0B"/>
    <w:rPr>
      <w:i w:val="0"/>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3.xml" /><Relationship Id="rId11" Type="http://schemas.openxmlformats.org/officeDocument/2006/relationships/chart" Target="charts/chart1.xml" /><Relationship Id="rId12" Type="http://schemas.openxmlformats.org/officeDocument/2006/relationships/chart" Target="charts/chart2.xml" /><Relationship Id="rId13" Type="http://schemas.openxmlformats.org/officeDocument/2006/relationships/image" Target="media/image2.png" /><Relationship Id="rId14" Type="http://schemas.openxmlformats.org/officeDocument/2006/relationships/chart" Target="charts/chart3.xml" /><Relationship Id="rId15" Type="http://schemas.openxmlformats.org/officeDocument/2006/relationships/chart" Target="charts/chart4.xml" /><Relationship Id="rId16" Type="http://schemas.openxmlformats.org/officeDocument/2006/relationships/image" Target="media/image3.png" /><Relationship Id="rId17" Type="http://schemas.openxmlformats.org/officeDocument/2006/relationships/chart" Target="charts/chart5.xml" /><Relationship Id="rId18" Type="http://schemas.openxmlformats.org/officeDocument/2006/relationships/chart" Target="charts/chart6.xml" /><Relationship Id="rId19" Type="http://schemas.openxmlformats.org/officeDocument/2006/relationships/chart" Target="charts/chart7.xml" /><Relationship Id="rId2" Type="http://schemas.openxmlformats.org/officeDocument/2006/relationships/webSettings" Target="webSettings.xml" /><Relationship Id="rId20" Type="http://schemas.openxmlformats.org/officeDocument/2006/relationships/chart" Target="charts/chart8.xml" /><Relationship Id="rId21" Type="http://schemas.openxmlformats.org/officeDocument/2006/relationships/header" Target="header4.xml" /><Relationship Id="rId22" Type="http://schemas.openxmlformats.org/officeDocument/2006/relationships/header" Target="header5.xml" /><Relationship Id="rId23" Type="http://schemas.openxmlformats.org/officeDocument/2006/relationships/footer" Target="footer4.xml" /><Relationship Id="rId24" Type="http://schemas.openxmlformats.org/officeDocument/2006/relationships/footer" Target="footer5.xml" /><Relationship Id="rId25" Type="http://schemas.openxmlformats.org/officeDocument/2006/relationships/header" Target="header6.xml" /><Relationship Id="rId26" Type="http://schemas.openxmlformats.org/officeDocument/2006/relationships/footer" Target="footer6.xml" /><Relationship Id="rId27" Type="http://schemas.openxmlformats.org/officeDocument/2006/relationships/chart" Target="charts/chart9.xml" /><Relationship Id="rId28" Type="http://schemas.openxmlformats.org/officeDocument/2006/relationships/header" Target="header7.xml" /><Relationship Id="rId29" Type="http://schemas.openxmlformats.org/officeDocument/2006/relationships/header" Target="header8.xml" /><Relationship Id="rId3" Type="http://schemas.openxmlformats.org/officeDocument/2006/relationships/fontTable" Target="fontTable.xml" /><Relationship Id="rId30" Type="http://schemas.openxmlformats.org/officeDocument/2006/relationships/footer" Target="footer7.xml" /><Relationship Id="rId31" Type="http://schemas.openxmlformats.org/officeDocument/2006/relationships/footer" Target="footer8.xml" /><Relationship Id="rId32" Type="http://schemas.openxmlformats.org/officeDocument/2006/relationships/header" Target="header9.xml" /><Relationship Id="rId33" Type="http://schemas.openxmlformats.org/officeDocument/2006/relationships/footer" Target="footer9.xml" /><Relationship Id="rId34" Type="http://schemas.openxmlformats.org/officeDocument/2006/relationships/header" Target="header10.xml" /><Relationship Id="rId35" Type="http://schemas.openxmlformats.org/officeDocument/2006/relationships/header" Target="header11.xml" /><Relationship Id="rId36" Type="http://schemas.openxmlformats.org/officeDocument/2006/relationships/footer" Target="footer10.xml" /><Relationship Id="rId37" Type="http://schemas.openxmlformats.org/officeDocument/2006/relationships/footer" Target="footer11.xml" /><Relationship Id="rId38" Type="http://schemas.openxmlformats.org/officeDocument/2006/relationships/header" Target="header12.xml" /><Relationship Id="rId39" Type="http://schemas.openxmlformats.org/officeDocument/2006/relationships/footer" Target="footer12.xml" /><Relationship Id="rId4" Type="http://schemas.openxmlformats.org/officeDocument/2006/relationships/customXml" Target="../customXml/item1.xml" /><Relationship Id="rId40" Type="http://schemas.openxmlformats.org/officeDocument/2006/relationships/header" Target="header13.xml" /><Relationship Id="rId41" Type="http://schemas.openxmlformats.org/officeDocument/2006/relationships/header" Target="header14.xml" /><Relationship Id="rId42" Type="http://schemas.openxmlformats.org/officeDocument/2006/relationships/footer" Target="footer13.xml" /><Relationship Id="rId43" Type="http://schemas.openxmlformats.org/officeDocument/2006/relationships/footer" Target="footer14.xml" /><Relationship Id="rId44" Type="http://schemas.openxmlformats.org/officeDocument/2006/relationships/header" Target="header15.xml" /><Relationship Id="rId45" Type="http://schemas.openxmlformats.org/officeDocument/2006/relationships/footer" Target="footer15.xml" /><Relationship Id="rId46" Type="http://schemas.openxmlformats.org/officeDocument/2006/relationships/header" Target="header16.xml" /><Relationship Id="rId47" Type="http://schemas.openxmlformats.org/officeDocument/2006/relationships/header" Target="header17.xml" /><Relationship Id="rId48" Type="http://schemas.openxmlformats.org/officeDocument/2006/relationships/footer" Target="footer16.xml" /><Relationship Id="rId49" Type="http://schemas.openxmlformats.org/officeDocument/2006/relationships/footer" Target="footer17.xml" /><Relationship Id="rId5" Type="http://schemas.openxmlformats.org/officeDocument/2006/relationships/header" Target="header1.xml" /><Relationship Id="rId50" Type="http://schemas.openxmlformats.org/officeDocument/2006/relationships/header" Target="header18.xml" /><Relationship Id="rId51" Type="http://schemas.openxmlformats.org/officeDocument/2006/relationships/footer" Target="footer18.xml" /><Relationship Id="rId52" Type="http://schemas.openxmlformats.org/officeDocument/2006/relationships/image" Target="media/image4.jpeg" /><Relationship Id="rId53" Type="http://schemas.openxmlformats.org/officeDocument/2006/relationships/image" Target="media/image5.jpeg" /><Relationship Id="rId54" Type="http://schemas.openxmlformats.org/officeDocument/2006/relationships/image" Target="media/image6.png" /><Relationship Id="rId55" Type="http://schemas.openxmlformats.org/officeDocument/2006/relationships/image" Target="media/image7.jpeg" /><Relationship Id="rId56" Type="http://schemas.openxmlformats.org/officeDocument/2006/relationships/image" Target="media/image8.png" /><Relationship Id="rId57" Type="http://schemas.openxmlformats.org/officeDocument/2006/relationships/image" Target="media/image9.jpeg" /><Relationship Id="rId58" Type="http://schemas.openxmlformats.org/officeDocument/2006/relationships/header" Target="header19.xml" /><Relationship Id="rId59" Type="http://schemas.openxmlformats.org/officeDocument/2006/relationships/header" Target="header20.xml" /><Relationship Id="rId6" Type="http://schemas.openxmlformats.org/officeDocument/2006/relationships/header" Target="header2.xml" /><Relationship Id="rId60" Type="http://schemas.openxmlformats.org/officeDocument/2006/relationships/footer" Target="footer19.xml" /><Relationship Id="rId61" Type="http://schemas.openxmlformats.org/officeDocument/2006/relationships/footer" Target="footer20.xml" /><Relationship Id="rId62" Type="http://schemas.openxmlformats.org/officeDocument/2006/relationships/header" Target="header21.xml" /><Relationship Id="rId63" Type="http://schemas.openxmlformats.org/officeDocument/2006/relationships/footer" Target="footer21.xml" /><Relationship Id="rId64" Type="http://schemas.openxmlformats.org/officeDocument/2006/relationships/header" Target="header22.xml" /><Relationship Id="rId65" Type="http://schemas.openxmlformats.org/officeDocument/2006/relationships/header" Target="header23.xml" /><Relationship Id="rId66" Type="http://schemas.openxmlformats.org/officeDocument/2006/relationships/footer" Target="footer22.xml" /><Relationship Id="rId67" Type="http://schemas.openxmlformats.org/officeDocument/2006/relationships/footer" Target="footer23.xml" /><Relationship Id="rId68" Type="http://schemas.openxmlformats.org/officeDocument/2006/relationships/header" Target="header24.xml" /><Relationship Id="rId69" Type="http://schemas.openxmlformats.org/officeDocument/2006/relationships/footer" Target="footer24.xml" /><Relationship Id="rId7" Type="http://schemas.openxmlformats.org/officeDocument/2006/relationships/footer" Target="footer1.xml" /><Relationship Id="rId70" Type="http://schemas.openxmlformats.org/officeDocument/2006/relationships/header" Target="header25.xml" /><Relationship Id="rId71" Type="http://schemas.openxmlformats.org/officeDocument/2006/relationships/header" Target="header26.xml" /><Relationship Id="rId72" Type="http://schemas.openxmlformats.org/officeDocument/2006/relationships/footer" Target="footer25.xml" /><Relationship Id="rId73" Type="http://schemas.openxmlformats.org/officeDocument/2006/relationships/footer" Target="footer26.xml" /><Relationship Id="rId74" Type="http://schemas.openxmlformats.org/officeDocument/2006/relationships/header" Target="header27.xml" /><Relationship Id="rId75" Type="http://schemas.openxmlformats.org/officeDocument/2006/relationships/footer" Target="footer27.xml" /><Relationship Id="rId76" Type="http://schemas.openxmlformats.org/officeDocument/2006/relationships/image" Target="media/image10.tif" /><Relationship Id="rId77" Type="http://schemas.openxmlformats.org/officeDocument/2006/relationships/header" Target="header28.xml" /><Relationship Id="rId78" Type="http://schemas.openxmlformats.org/officeDocument/2006/relationships/header" Target="header29.xml" /><Relationship Id="rId79" Type="http://schemas.openxmlformats.org/officeDocument/2006/relationships/footer" Target="footer28.xml" /><Relationship Id="rId8" Type="http://schemas.openxmlformats.org/officeDocument/2006/relationships/footer" Target="footer2.xml" /><Relationship Id="rId80" Type="http://schemas.openxmlformats.org/officeDocument/2006/relationships/footer" Target="footer29.xml" /><Relationship Id="rId81" Type="http://schemas.openxmlformats.org/officeDocument/2006/relationships/header" Target="header30.xml" /><Relationship Id="rId82" Type="http://schemas.openxmlformats.org/officeDocument/2006/relationships/footer" Target="footer30.xml" /><Relationship Id="rId83" Type="http://schemas.openxmlformats.org/officeDocument/2006/relationships/image" Target="media/image11.png" /><Relationship Id="rId84" Type="http://schemas.openxmlformats.org/officeDocument/2006/relationships/image" Target="media/image12.png" /><Relationship Id="rId85" Type="http://schemas.openxmlformats.org/officeDocument/2006/relationships/image" Target="media/image13.png" /><Relationship Id="rId86" Type="http://schemas.openxmlformats.org/officeDocument/2006/relationships/header" Target="header31.xml" /><Relationship Id="rId87" Type="http://schemas.openxmlformats.org/officeDocument/2006/relationships/header" Target="header32.xml" /><Relationship Id="rId88" Type="http://schemas.openxmlformats.org/officeDocument/2006/relationships/footer" Target="footer31.xml" /><Relationship Id="rId89" Type="http://schemas.openxmlformats.org/officeDocument/2006/relationships/footer" Target="footer32.xml" /><Relationship Id="rId9" Type="http://schemas.openxmlformats.org/officeDocument/2006/relationships/header" Target="header3.xml" /><Relationship Id="rId90" Type="http://schemas.openxmlformats.org/officeDocument/2006/relationships/header" Target="header33.xml" /><Relationship Id="rId91" Type="http://schemas.openxmlformats.org/officeDocument/2006/relationships/footer" Target="footer33.xml" /><Relationship Id="rId92" Type="http://schemas.openxmlformats.org/officeDocument/2006/relationships/theme" Target="theme/theme1.xml" /><Relationship Id="rId93" Type="http://schemas.openxmlformats.org/officeDocument/2006/relationships/numbering" Target="numbering.xml" /><Relationship Id="rId94" Type="http://schemas.openxmlformats.org/officeDocument/2006/relationships/styles" Target="styles.xml" /></Relationships>
</file>

<file path=word/_rels/header1.xml.rels>&#65279;<?xml version="1.0" encoding="utf-8" standalone="yes"?><Relationships xmlns="http://schemas.openxmlformats.org/package/2006/relationships"><Relationship Id="rId1" Type="http://schemas.openxmlformats.org/officeDocument/2006/relationships/image" Target="media/image1.png" /></Relationships>
</file>

<file path=word/_rels/header10.xml.rels>&#65279;<?xml version="1.0" encoding="utf-8" standalone="yes"?><Relationships xmlns="http://schemas.openxmlformats.org/package/2006/relationships"><Relationship Id="rId1" Type="http://schemas.openxmlformats.org/officeDocument/2006/relationships/image" Target="media/image1.png" /></Relationships>
</file>

<file path=word/_rels/header11.xml.rels>&#65279;<?xml version="1.0" encoding="utf-8" standalone="yes"?><Relationships xmlns="http://schemas.openxmlformats.org/package/2006/relationships"><Relationship Id="rId1" Type="http://schemas.openxmlformats.org/officeDocument/2006/relationships/image" Target="media/image1.png" /></Relationships>
</file>

<file path=word/_rels/header13.xml.rels>&#65279;<?xml version="1.0" encoding="utf-8" standalone="yes"?><Relationships xmlns="http://schemas.openxmlformats.org/package/2006/relationships"><Relationship Id="rId1" Type="http://schemas.openxmlformats.org/officeDocument/2006/relationships/image" Target="media/image1.png" /></Relationships>
</file>

<file path=word/_rels/header14.xml.rels>&#65279;<?xml version="1.0" encoding="utf-8" standalone="yes"?><Relationships xmlns="http://schemas.openxmlformats.org/package/2006/relationships"><Relationship Id="rId1" Type="http://schemas.openxmlformats.org/officeDocument/2006/relationships/image" Target="media/image1.png" /></Relationships>
</file>

<file path=word/_rels/header16.xml.rels>&#65279;<?xml version="1.0" encoding="utf-8" standalone="yes"?><Relationships xmlns="http://schemas.openxmlformats.org/package/2006/relationships"><Relationship Id="rId1" Type="http://schemas.openxmlformats.org/officeDocument/2006/relationships/image" Target="media/image1.png" /></Relationships>
</file>

<file path=word/_rels/header17.xml.rels>&#65279;<?xml version="1.0" encoding="utf-8" standalone="yes"?><Relationships xmlns="http://schemas.openxmlformats.org/package/2006/relationships"><Relationship Id="rId1" Type="http://schemas.openxmlformats.org/officeDocument/2006/relationships/image" Target="media/image1.png" /></Relationships>
</file>

<file path=word/_rels/header19.xml.rels>&#65279;<?xml version="1.0" encoding="utf-8" standalone="yes"?><Relationships xmlns="http://schemas.openxmlformats.org/package/2006/relationships"><Relationship Id="rId1" Type="http://schemas.openxmlformats.org/officeDocument/2006/relationships/image" Target="media/image1.png" /></Relationships>
</file>

<file path=word/_rels/header2.xml.rels>&#65279;<?xml version="1.0" encoding="utf-8" standalone="yes"?><Relationships xmlns="http://schemas.openxmlformats.org/package/2006/relationships"><Relationship Id="rId1" Type="http://schemas.openxmlformats.org/officeDocument/2006/relationships/image" Target="media/image1.png" /></Relationships>
</file>

<file path=word/_rels/header20.xml.rels>&#65279;<?xml version="1.0" encoding="utf-8" standalone="yes"?><Relationships xmlns="http://schemas.openxmlformats.org/package/2006/relationships"><Relationship Id="rId1" Type="http://schemas.openxmlformats.org/officeDocument/2006/relationships/image" Target="media/image1.png" /></Relationships>
</file>

<file path=word/_rels/header22.xml.rels>&#65279;<?xml version="1.0" encoding="utf-8" standalone="yes"?><Relationships xmlns="http://schemas.openxmlformats.org/package/2006/relationships"><Relationship Id="rId1" Type="http://schemas.openxmlformats.org/officeDocument/2006/relationships/image" Target="media/image1.png" /></Relationships>
</file>

<file path=word/_rels/header23.xml.rels>&#65279;<?xml version="1.0" encoding="utf-8" standalone="yes"?><Relationships xmlns="http://schemas.openxmlformats.org/package/2006/relationships"><Relationship Id="rId1" Type="http://schemas.openxmlformats.org/officeDocument/2006/relationships/image" Target="media/image1.png" /></Relationships>
</file>

<file path=word/_rels/header25.xml.rels>&#65279;<?xml version="1.0" encoding="utf-8" standalone="yes"?><Relationships xmlns="http://schemas.openxmlformats.org/package/2006/relationships"><Relationship Id="rId1" Type="http://schemas.openxmlformats.org/officeDocument/2006/relationships/image" Target="media/image1.png" /></Relationships>
</file>

<file path=word/_rels/header26.xml.rels>&#65279;<?xml version="1.0" encoding="utf-8" standalone="yes"?><Relationships xmlns="http://schemas.openxmlformats.org/package/2006/relationships"><Relationship Id="rId1" Type="http://schemas.openxmlformats.org/officeDocument/2006/relationships/image" Target="media/image1.png" /></Relationships>
</file>

<file path=word/_rels/header28.xml.rels>&#65279;<?xml version="1.0" encoding="utf-8" standalone="yes"?><Relationships xmlns="http://schemas.openxmlformats.org/package/2006/relationships"><Relationship Id="rId1" Type="http://schemas.openxmlformats.org/officeDocument/2006/relationships/image" Target="media/image1.png" /></Relationships>
</file>

<file path=word/_rels/header29.xml.rels>&#65279;<?xml version="1.0" encoding="utf-8" standalone="yes"?><Relationships xmlns="http://schemas.openxmlformats.org/package/2006/relationships"><Relationship Id="rId1" Type="http://schemas.openxmlformats.org/officeDocument/2006/relationships/image" Target="media/image1.png" /></Relationships>
</file>

<file path=word/_rels/header31.xml.rels>&#65279;<?xml version="1.0" encoding="utf-8" standalone="yes"?><Relationships xmlns="http://schemas.openxmlformats.org/package/2006/relationships"><Relationship Id="rId1" Type="http://schemas.openxmlformats.org/officeDocument/2006/relationships/image" Target="media/image14.png" /></Relationships>
</file>

<file path=word/_rels/header32.xml.rels>&#65279;<?xml version="1.0" encoding="utf-8" standalone="yes"?><Relationships xmlns="http://schemas.openxmlformats.org/package/2006/relationships"><Relationship Id="rId1" Type="http://schemas.openxmlformats.org/officeDocument/2006/relationships/image" Target="media/image14.png" /></Relationships>
</file>

<file path=word/_rels/header4.xml.rels>&#65279;<?xml version="1.0" encoding="utf-8" standalone="yes"?><Relationships xmlns="http://schemas.openxmlformats.org/package/2006/relationships"><Relationship Id="rId1" Type="http://schemas.openxmlformats.org/officeDocument/2006/relationships/image" Target="media/image1.png" /></Relationships>
</file>

<file path=word/_rels/header5.xml.rels>&#65279;<?xml version="1.0" encoding="utf-8" standalone="yes"?><Relationships xmlns="http://schemas.openxmlformats.org/package/2006/relationships"><Relationship Id="rId1" Type="http://schemas.openxmlformats.org/officeDocument/2006/relationships/image" Target="media/image1.png" /></Relationships>
</file>

<file path=word/_rels/header7.xml.rels>&#65279;<?xml version="1.0" encoding="utf-8" standalone="yes"?><Relationships xmlns="http://schemas.openxmlformats.org/package/2006/relationships"><Relationship Id="rId1" Type="http://schemas.openxmlformats.org/officeDocument/2006/relationships/image" Target="media/image1.png" /></Relationships>
</file>

<file path=word/_rels/header8.xml.rels>&#65279;<?xml version="1.0" encoding="utf-8" standalone="yes"?><Relationships xmlns="http://schemas.openxmlformats.org/package/2006/relationships"><Relationship Id="rId1" Type="http://schemas.openxmlformats.org/officeDocument/2006/relationships/image" Target="media/image1.png" /></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05"/>
          <c:y val="0.1955"/>
          <c:w val="0.803"/>
          <c:h val="0.70625"/>
        </c:manualLayout>
      </c:layout>
      <c:barChart>
        <c:barDir val="col"/>
        <c:grouping val="stacked"/>
        <c:varyColors val="0"/>
        <c:ser>
          <c:idx val="2"/>
          <c:order val="0"/>
          <c:tx>
            <c:strRef>
              <c:f>'Liikevaihdon kehitys'!$E$3</c:f>
              <c:strCache>
                <c:ptCount val="1"/>
                <c:pt idx="0">
                  <c:v>Konsernin liikevaihdon kehitys</c:v>
                </c:pt>
              </c:strCache>
            </c:strRef>
          </c:tx>
          <c:spPr>
            <a:solidFill>
              <a:srgbClr val="0F334A"/>
            </a:solidFill>
            <a:ln w="6350">
              <a:solidFill>
                <a:srgbClr val="0F334A"/>
              </a:solidFill>
            </a:ln>
          </c:spPr>
          <c:invertIfNegative val="0"/>
          <c:dLbls>
            <c:numFmt formatCode="General" sourceLinked="1"/>
            <c:showLegendKey val="0"/>
            <c:showVal val="0"/>
            <c:showCatName val="0"/>
            <c:showSerName val="0"/>
            <c:showPercent val="0"/>
            <c:showBubbleSize val="0"/>
            <c:showLeaderLines val="0"/>
          </c:dLbls>
          <c:cat>
            <c:strRef>
              <c:f>'Liikevaihdon kehitys'!$B$6:$B$10</c:f>
              <c:strCache>
                <c:ptCount val="5"/>
                <c:pt idx="0">
                  <c:v>2017*</c:v>
                </c:pt>
                <c:pt idx="1">
                  <c:v>2018</c:v>
                </c:pt>
                <c:pt idx="2">
                  <c:v>2019</c:v>
                </c:pt>
                <c:pt idx="3">
                  <c:v>2020</c:v>
                </c:pt>
                <c:pt idx="4">
                  <c:v>2021</c:v>
                </c:pt>
              </c:strCache>
            </c:strRef>
          </c:cat>
          <c:val>
            <c:numRef>
              <c:f>'Liikevaihdon kehitys'!$E$6:$E$10</c:f>
              <c:numCache>
                <c:formatCode>General</c:formatCode>
                <c:ptCount val="5"/>
                <c:pt idx="0">
                  <c:v>4911</c:v>
                </c:pt>
                <c:pt idx="1">
                  <c:v>5174</c:v>
                </c:pt>
                <c:pt idx="2">
                  <c:v>5170</c:v>
                </c:pt>
                <c:pt idx="3">
                  <c:v>4604</c:v>
                </c:pt>
                <c:pt idx="4">
                  <c:v>4778</c:v>
                </c:pt>
              </c:numCache>
            </c:numRef>
          </c:val>
          <c:extLst>
            <c:ext xmlns:c="http://schemas.openxmlformats.org/drawingml/2006/chart" xmlns:c16="http://schemas.microsoft.com/office/drawing/2014/chart" uri="{C3380CC4-5D6E-409C-BE32-E72D297353CC}">
              <c16:uniqueId val="{00000002-48F7-467F-96D6-A4278D8AF04D}"/>
            </c:ext>
          </c:extLst>
        </c:ser>
        <c:gapWidth val="500"/>
        <c:overlap val="100"/>
        <c:axId val="38127035"/>
        <c:axId val="9163212"/>
      </c:barChart>
      <c:catAx>
        <c:axId val="38127035"/>
        <c:scaling>
          <c:orientation val="minMax"/>
        </c:scaling>
        <c:delete val="0"/>
        <c:axPos val="b"/>
        <c:numFmt formatCode="General" sourceLinked="1"/>
        <c:majorTickMark val="none"/>
        <c:minorTickMark val="none"/>
        <c:tickLblPos val="nextTo"/>
        <c:spPr>
          <a:noFill/>
          <a:ln w="9525">
            <a:solidFill>
              <a:schemeClr val="tx1">
                <a:lumMod val="15000"/>
                <a:lumOff val="85000"/>
              </a:schemeClr>
            </a:solidFill>
            <a:round/>
          </a:ln>
        </c:spPr>
        <c:txPr>
          <a:bodyPr/>
          <a:lstStyle/>
          <a:p>
            <a:pPr>
              <a:defRPr lang="en-US" sz="700" b="1" u="none" baseline="0">
                <a:solidFill>
                  <a:schemeClr val="tx1"/>
                </a:solidFill>
                <a:latin typeface="Arial"/>
                <a:ea typeface="Arial"/>
                <a:cs typeface="Arial"/>
              </a:defRPr>
            </a:pPr>
          </a:p>
        </c:txPr>
        <c:crossAx val="9163212"/>
        <c:crosses val="autoZero"/>
        <c:auto val="1"/>
        <c:lblOffset val="100"/>
        <c:noMultiLvlLbl val="0"/>
      </c:catAx>
      <c:valAx>
        <c:axId val="9163212"/>
        <c:scaling>
          <c:orientation val="minMax"/>
          <c:max val="6000"/>
        </c:scaling>
        <c:delete val="0"/>
        <c:axPos val="l"/>
        <c:majorGridlines>
          <c:spPr>
            <a:ln w="9525">
              <a:solidFill>
                <a:schemeClr val="tx1">
                  <a:lumMod val="15000"/>
                  <a:lumOff val="85000"/>
                </a:schemeClr>
              </a:solidFill>
              <a:round/>
            </a:ln>
          </c:spPr>
        </c:majorGridlines>
        <c:title>
          <c:tx>
            <c:rich>
              <a:bodyPr rot="0" vert="horz"/>
              <a:lstStyle/>
              <a:p>
                <a:pPr algn="ctr">
                  <a:defRPr/>
                </a:pPr>
                <a:r>
                  <a:rPr lang="en-US" u="none" baseline="0">
                    <a:solidFill>
                      <a:schemeClr val="tx1"/>
                    </a:solidFill>
                    <a:latin typeface="Arial"/>
                    <a:ea typeface="Arial"/>
                    <a:cs typeface="Arial"/>
                  </a:rPr>
                  <a:t>MEUR</a:t>
                </a:r>
              </a:p>
            </c:rich>
          </c:tx>
          <c:layout>
            <c:manualLayout>
              <c:xMode val="edge"/>
              <c:yMode val="edge"/>
              <c:x val="0.00275"/>
              <c:y val="0.00675"/>
            </c:manualLayout>
          </c:layout>
          <c:overlay val="0"/>
          <c:spPr>
            <a:noFill/>
            <a:ln w="6350">
              <a:noFill/>
            </a:ln>
          </c:spPr>
        </c:title>
        <c:numFmt formatCode="#,##0" sourceLinked="0"/>
        <c:majorTickMark val="none"/>
        <c:minorTickMark val="none"/>
        <c:tickLblPos val="nextTo"/>
        <c:spPr>
          <a:noFill/>
          <a:ln w="6350">
            <a:noFill/>
          </a:ln>
        </c:spPr>
        <c:crossAx val="38127035"/>
        <c:crosses val="autoZero"/>
        <c:crossBetween val="between"/>
        <c:majorUnit val="1000"/>
      </c:valAx>
      <c:spPr>
        <a:noFill/>
        <a:ln w="25400">
          <a:noFill/>
        </a:ln>
      </c:spPr>
    </c:plotArea>
    <c:plotVisOnly val="1"/>
    <c:dispBlanksAs val="gap"/>
    <c:showDLblsOverMax val="0"/>
  </c:chart>
  <c:spPr>
    <a:solidFill>
      <a:schemeClr val="bg1"/>
    </a:solidFill>
    <a:ln w="9525">
      <a:solidFill>
        <a:schemeClr val="bg1"/>
      </a:solidFill>
      <a:round/>
    </a:ln>
  </c:spPr>
  <c:txPr>
    <a:bodyPr rot="0" vert="horz"/>
    <a:lstStyle/>
    <a:p>
      <a:pPr>
        <a:defRPr lang="en-US" sz="700" u="none" baseline="0">
          <a:solidFill>
            <a:schemeClr val="tx1"/>
          </a:solidFill>
          <a:latin typeface="Arial"/>
          <a:ea typeface="Arial"/>
          <a:cs typeface="Arial"/>
        </a:defRPr>
      </a:pPr>
    </a:p>
  </c:txPr>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
          <c:y val="0.1605"/>
          <c:w val="0.815"/>
          <c:h val="0.571"/>
        </c:manualLayout>
      </c:layout>
      <c:barChart>
        <c:barDir val="col"/>
        <c:grouping val="clustered"/>
        <c:varyColors val="0"/>
        <c:ser>
          <c:idx val="2"/>
          <c:order val="0"/>
          <c:tx>
            <c:strRef>
              <c:f>'Liikevaihdon kehitys'!$E$31</c:f>
              <c:strCache>
                <c:ptCount val="1"/>
                <c:pt idx="0">
                  <c:v>Comparable operating result</c:v>
                </c:pt>
              </c:strCache>
            </c:strRef>
          </c:tx>
          <c:spPr>
            <a:solidFill>
              <a:srgbClr val="0F334A"/>
            </a:solidFill>
            <a:ln w="6350">
              <a:noFill/>
            </a:ln>
          </c:spPr>
          <c:invertIfNegative val="0"/>
          <c:dLbls>
            <c:numFmt formatCode="General" sourceLinked="1"/>
            <c:showLegendKey val="0"/>
            <c:showVal val="0"/>
            <c:showCatName val="0"/>
            <c:showSerName val="0"/>
            <c:showPercent val="0"/>
            <c:showBubbleSize val="0"/>
            <c:showLeaderLines val="0"/>
          </c:dLbls>
          <c:cat>
            <c:strRef>
              <c:f>'Liikevaihdon kehitys'!$B$22:$B$26</c:f>
              <c:strCache>
                <c:ptCount val="5"/>
                <c:pt idx="0">
                  <c:v>2017*</c:v>
                </c:pt>
                <c:pt idx="1">
                  <c:v>2018</c:v>
                </c:pt>
                <c:pt idx="2">
                  <c:v>2019</c:v>
                </c:pt>
                <c:pt idx="3">
                  <c:v>2020</c:v>
                </c:pt>
                <c:pt idx="4">
                  <c:v>2021</c:v>
                </c:pt>
              </c:strCache>
            </c:strRef>
          </c:cat>
          <c:val>
            <c:numRef>
              <c:f>'Liikevaihdon kehitys'!$E$22:$E$26</c:f>
              <c:numCache>
                <c:formatCode>General</c:formatCode>
                <c:ptCount val="5"/>
                <c:pt idx="0">
                  <c:v>576</c:v>
                </c:pt>
                <c:pt idx="1">
                  <c:v>577</c:v>
                </c:pt>
                <c:pt idx="2">
                  <c:v>457</c:v>
                </c:pt>
                <c:pt idx="3">
                  <c:v>275</c:v>
                </c:pt>
                <c:pt idx="4">
                  <c:v>357</c:v>
                </c:pt>
              </c:numCache>
            </c:numRef>
          </c:val>
          <c:extLst>
            <c:ext xmlns:c="http://schemas.openxmlformats.org/drawingml/2006/chart" xmlns:c16="http://schemas.microsoft.com/office/drawing/2014/chart" uri="{C3380CC4-5D6E-409C-BE32-E72D297353CC}">
              <c16:uniqueId val="{00000000-689C-4C1A-A8F1-BD16F863A0F2}"/>
            </c:ext>
          </c:extLst>
        </c:ser>
        <c:ser>
          <c:idx val="3"/>
          <c:order val="1"/>
          <c:tx>
            <c:strRef>
              <c:f>'Liikevaihdon kehitys'!$I$31</c:f>
              <c:strCache>
                <c:ptCount val="1"/>
                <c:pt idx="0">
                  <c:v>Operating result</c:v>
                </c:pt>
              </c:strCache>
            </c:strRef>
          </c:tx>
          <c:spPr>
            <a:solidFill>
              <a:srgbClr val="CCCCCC"/>
            </a:solidFill>
          </c:spPr>
          <c:invertIfNegative val="0"/>
          <c:dLbls>
            <c:numFmt formatCode="General" sourceLinked="1"/>
            <c:showLegendKey val="0"/>
            <c:showVal val="0"/>
            <c:showCatName val="0"/>
            <c:showSerName val="0"/>
            <c:showPercent val="0"/>
            <c:showBubbleSize val="0"/>
            <c:showLeaderLines val="0"/>
          </c:dLbls>
          <c:val>
            <c:numRef>
              <c:f>'Liikevaihdon kehitys'!$I$22:$I$26</c:f>
              <c:numCache>
                <c:formatCode>General</c:formatCode>
                <c:ptCount val="5"/>
                <c:pt idx="0">
                  <c:v>538</c:v>
                </c:pt>
                <c:pt idx="1">
                  <c:v>543</c:v>
                </c:pt>
                <c:pt idx="2">
                  <c:v>362</c:v>
                </c:pt>
                <c:pt idx="3">
                  <c:v>234</c:v>
                </c:pt>
                <c:pt idx="4">
                  <c:v>314</c:v>
                </c:pt>
              </c:numCache>
            </c:numRef>
          </c:val>
          <c:extLst>
            <c:ext xmlns:c="http://schemas.openxmlformats.org/drawingml/2006/chart" xmlns:c16="http://schemas.microsoft.com/office/drawing/2014/chart" uri="{C3380CC4-5D6E-409C-BE32-E72D297353CC}">
              <c16:uniqueId val="{00000000-904C-4FFA-8154-85C1D4D1C30B}"/>
            </c:ext>
          </c:extLst>
        </c:ser>
        <c:ser>
          <c:idx val="0"/>
          <c:order val="2"/>
          <c:tx>
            <c:strRef>
              <c:f>'Liikevaihdon kehitys'!$M$31</c:f>
              <c:strCache>
                <c:ptCount val="1"/>
                <c:pt idx="0">
                  <c:v>Profit before taxes</c:v>
                </c:pt>
              </c:strCache>
            </c:strRef>
          </c:tx>
          <c:spPr>
            <a:solidFill>
              <a:srgbClr val="99B7C4"/>
            </a:solidFill>
            <a:ln w="6350">
              <a:noFill/>
            </a:ln>
          </c:spPr>
          <c:invertIfNegative val="0"/>
          <c:dLbls>
            <c:numFmt formatCode="General" sourceLinked="1"/>
            <c:showLegendKey val="0"/>
            <c:showVal val="0"/>
            <c:showCatName val="0"/>
            <c:showSerName val="0"/>
            <c:showPercent val="0"/>
            <c:showBubbleSize val="0"/>
            <c:showLeaderLines val="0"/>
          </c:dLbls>
          <c:cat>
            <c:strRef>
              <c:f>'Liikevaihdon kehitys'!$B$22:$B$26</c:f>
              <c:strCache>
                <c:ptCount val="5"/>
                <c:pt idx="0">
                  <c:v>2017*</c:v>
                </c:pt>
                <c:pt idx="1">
                  <c:v>2018</c:v>
                </c:pt>
                <c:pt idx="2">
                  <c:v>2019</c:v>
                </c:pt>
                <c:pt idx="3">
                  <c:v>2020</c:v>
                </c:pt>
                <c:pt idx="4">
                  <c:v>2021</c:v>
                </c:pt>
              </c:strCache>
            </c:strRef>
          </c:cat>
          <c:val>
            <c:numRef>
              <c:f>'Liikevaihdon kehitys'!$M$22:$M$26</c:f>
              <c:numCache>
                <c:formatCode>0</c:formatCode>
                <c:ptCount val="5"/>
                <c:pt idx="0">
                  <c:v>491</c:v>
                </c:pt>
                <c:pt idx="1">
                  <c:v>502</c:v>
                </c:pt>
                <c:pt idx="2">
                  <c:v>315</c:v>
                </c:pt>
                <c:pt idx="3">
                  <c:v>191</c:v>
                </c:pt>
                <c:pt idx="4">
                  <c:v>296</c:v>
                </c:pt>
              </c:numCache>
            </c:numRef>
          </c:val>
          <c:extLst>
            <c:ext xmlns:c="http://schemas.openxmlformats.org/drawingml/2006/chart" xmlns:c16="http://schemas.microsoft.com/office/drawing/2014/chart" uri="{C3380CC4-5D6E-409C-BE32-E72D297353CC}">
              <c16:uniqueId val="{00000001-689C-4C1A-A8F1-BD16F863A0F2}"/>
            </c:ext>
          </c:extLst>
        </c:ser>
        <c:gapWidth val="400"/>
        <c:axId val="15990840"/>
        <c:axId val="28659204"/>
      </c:barChart>
      <c:lineChart>
        <c:grouping val="standard"/>
        <c:varyColors val="0"/>
        <c:ser>
          <c:idx val="1"/>
          <c:order val="3"/>
          <c:tx>
            <c:strRef>
              <c:f>'Liikevaihdon kehitys'!$Q$31</c:f>
              <c:strCache>
                <c:ptCount val="1"/>
                <c:pt idx="0">
                  <c:v>Operating result, %</c:v>
                </c:pt>
              </c:strCache>
            </c:strRef>
          </c:tx>
          <c:spPr>
            <a:ln w="22225" cap="rnd">
              <a:solidFill>
                <a:schemeClr val="accent2"/>
              </a:solidFill>
              <a:round/>
            </a:ln>
          </c:spPr>
          <c:marker>
            <c:symbol val="none"/>
          </c:marker>
          <c:dLbls>
            <c:numFmt formatCode="General" sourceLinked="1"/>
            <c:showLegendKey val="0"/>
            <c:showVal val="0"/>
            <c:showCatName val="0"/>
            <c:showSerName val="0"/>
            <c:showPercent val="0"/>
            <c:showBubbleSize val="0"/>
            <c:showLeaderLines val="0"/>
          </c:dLbls>
          <c:cat>
            <c:strRef>
              <c:f>'Liikevaihdon kehitys'!$B$22:$B$26</c:f>
              <c:strCache>
                <c:ptCount val="5"/>
                <c:pt idx="0">
                  <c:v>2017*</c:v>
                </c:pt>
                <c:pt idx="1">
                  <c:v>2018</c:v>
                </c:pt>
                <c:pt idx="2">
                  <c:v>2019</c:v>
                </c:pt>
                <c:pt idx="3">
                  <c:v>2020</c:v>
                </c:pt>
                <c:pt idx="4">
                  <c:v>2021</c:v>
                </c:pt>
              </c:strCache>
            </c:strRef>
          </c:cat>
          <c:val>
            <c:numRef>
              <c:f>'Liikevaihdon kehitys'!$Q$22:$Q$26</c:f>
              <c:numCache>
                <c:formatCode>0.0</c:formatCode>
                <c:ptCount val="5"/>
                <c:pt idx="0">
                  <c:v>11</c:v>
                </c:pt>
                <c:pt idx="1">
                  <c:v>10.5</c:v>
                </c:pt>
                <c:pt idx="2">
                  <c:v>7</c:v>
                </c:pt>
                <c:pt idx="3">
                  <c:v>5.1</c:v>
                </c:pt>
                <c:pt idx="4">
                  <c:v>6.6</c:v>
                </c:pt>
              </c:numCache>
            </c:numRef>
          </c:val>
          <c:smooth val="0"/>
          <c:extLst>
            <c:ext xmlns:c="http://schemas.openxmlformats.org/drawingml/2006/chart" xmlns:c16="http://schemas.microsoft.com/office/drawing/2014/chart" uri="{C3380CC4-5D6E-409C-BE32-E72D297353CC}">
              <c16:uniqueId val="{00000002-689C-4C1A-A8F1-BD16F863A0F2}"/>
            </c:ext>
          </c:extLst>
        </c:ser>
        <c:marker val="1"/>
        <c:axId val="36997665"/>
        <c:axId val="36220433"/>
      </c:lineChart>
      <c:catAx>
        <c:axId val="15990840"/>
        <c:scaling>
          <c:orientation val="minMax"/>
        </c:scaling>
        <c:delete val="0"/>
        <c:axPos val="b"/>
        <c:numFmt formatCode="General" sourceLinked="1"/>
        <c:majorTickMark val="none"/>
        <c:minorTickMark val="none"/>
        <c:tickLblPos val="nextTo"/>
        <c:spPr>
          <a:noFill/>
          <a:ln w="9525">
            <a:solidFill>
              <a:schemeClr val="tx1">
                <a:lumMod val="15000"/>
                <a:lumOff val="85000"/>
              </a:schemeClr>
            </a:solidFill>
            <a:round/>
          </a:ln>
        </c:spPr>
        <c:txPr>
          <a:bodyPr/>
          <a:lstStyle/>
          <a:p>
            <a:pPr>
              <a:defRPr lang="en-US" sz="700" b="1" u="none" baseline="0">
                <a:solidFill>
                  <a:schemeClr val="tx1"/>
                </a:solidFill>
                <a:latin typeface="Arial"/>
                <a:ea typeface="Arial"/>
                <a:cs typeface="Arial"/>
              </a:defRPr>
            </a:pPr>
          </a:p>
        </c:txPr>
        <c:crossAx val="28659204"/>
        <c:crosses val="autoZero"/>
        <c:auto val="1"/>
        <c:lblOffset val="100"/>
        <c:noMultiLvlLbl val="0"/>
      </c:catAx>
      <c:valAx>
        <c:axId val="28659204"/>
        <c:scaling>
          <c:orientation val="minMax"/>
          <c:max val="700"/>
        </c:scaling>
        <c:delete val="0"/>
        <c:axPos val="l"/>
        <c:majorGridlines>
          <c:spPr>
            <a:ln w="9525">
              <a:solidFill>
                <a:schemeClr val="tx1">
                  <a:lumMod val="15000"/>
                  <a:lumOff val="85000"/>
                </a:schemeClr>
              </a:solidFill>
              <a:round/>
            </a:ln>
          </c:spPr>
        </c:majorGridlines>
        <c:title>
          <c:tx>
            <c:rich>
              <a:bodyPr rot="0" vert="horz"/>
              <a:lstStyle/>
              <a:p>
                <a:pPr algn="ctr">
                  <a:defRPr/>
                </a:pPr>
                <a:r>
                  <a:rPr lang="en-US" u="none" baseline="0">
                    <a:solidFill>
                      <a:schemeClr val="tx1"/>
                    </a:solidFill>
                    <a:latin typeface="Arial"/>
                    <a:ea typeface="Arial"/>
                    <a:cs typeface="Arial"/>
                  </a:rPr>
                  <a:t>MEUR</a:t>
                </a:r>
              </a:p>
            </c:rich>
          </c:tx>
          <c:layout>
            <c:manualLayout>
              <c:xMode val="edge"/>
              <c:yMode val="edge"/>
              <c:x val="0.0035"/>
              <c:y val="0.0045"/>
            </c:manualLayout>
          </c:layout>
          <c:overlay val="0"/>
          <c:spPr>
            <a:noFill/>
            <a:ln w="6350">
              <a:noFill/>
            </a:ln>
          </c:spPr>
        </c:title>
        <c:numFmt formatCode="#,##0" sourceLinked="0"/>
        <c:majorTickMark val="none"/>
        <c:minorTickMark val="none"/>
        <c:tickLblPos val="nextTo"/>
        <c:spPr>
          <a:noFill/>
          <a:ln w="6350">
            <a:noFill/>
          </a:ln>
        </c:spPr>
        <c:crossAx val="15990840"/>
        <c:crosses val="autoZero"/>
        <c:crossBetween val="between"/>
        <c:majorUnit val="100"/>
      </c:valAx>
      <c:catAx>
        <c:axId val="36997665"/>
        <c:scaling>
          <c:orientation val="minMax"/>
        </c:scaling>
        <c:delete val="1"/>
        <c:axPos val="b"/>
        <c:majorTickMark val="out"/>
        <c:minorTickMark val="none"/>
        <c:tickLblPos val="nextTo"/>
        <c:spPr>
          <a:ln w="6350"/>
        </c:spPr>
        <c:crossAx val="36220433"/>
        <c:crosses val="autoZero"/>
        <c:auto val="1"/>
        <c:lblOffset val="100"/>
        <c:noMultiLvlLbl val="0"/>
      </c:catAx>
      <c:valAx>
        <c:axId val="36220433"/>
        <c:scaling>
          <c:orientation val="minMax"/>
          <c:min val="0"/>
        </c:scaling>
        <c:delete val="0"/>
        <c:axPos val="l"/>
        <c:title>
          <c:tx>
            <c:rich>
              <a:bodyPr rot="0" vert="horz"/>
              <a:lstStyle/>
              <a:p>
                <a:pPr algn="ctr">
                  <a:defRPr/>
                </a:pPr>
                <a:r>
                  <a:rPr lang="en-US" u="none" baseline="0">
                    <a:solidFill>
                      <a:schemeClr val="tx1"/>
                    </a:solidFill>
                    <a:latin typeface="Arial"/>
                    <a:ea typeface="Arial"/>
                    <a:cs typeface="Arial"/>
                  </a:rPr>
                  <a:t>%</a:t>
                </a:r>
              </a:p>
            </c:rich>
          </c:tx>
          <c:layout>
            <c:manualLayout>
              <c:xMode val="edge"/>
              <c:yMode val="edge"/>
              <c:x val="0.9495"/>
              <c:y val="0.0325"/>
            </c:manualLayout>
          </c:layout>
          <c:overlay val="0"/>
          <c:spPr>
            <a:noFill/>
            <a:ln w="6350">
              <a:noFill/>
            </a:ln>
          </c:spPr>
        </c:title>
        <c:numFmt formatCode="0" sourceLinked="0"/>
        <c:majorTickMark val="out"/>
        <c:minorTickMark val="none"/>
        <c:tickLblPos val="nextTo"/>
        <c:spPr>
          <a:noFill/>
          <a:ln w="6350">
            <a:noFill/>
          </a:ln>
        </c:spPr>
        <c:crossAx val="36997665"/>
        <c:crosses val="max"/>
        <c:crossBetween val="between"/>
      </c:valAx>
      <c:spPr>
        <a:noFill/>
        <a:ln w="25400">
          <a:noFill/>
        </a:ln>
      </c:spPr>
    </c:plotArea>
    <c:legend>
      <c:legendPos val="b"/>
      <c:layout>
        <c:manualLayout>
          <c:xMode val="edge"/>
          <c:yMode val="edge"/>
          <c:x val="0"/>
          <c:y val="0.84875"/>
          <c:w val="1"/>
          <c:h val="0.15125"/>
        </c:manualLayout>
      </c:layout>
      <c:overlay val="0"/>
      <c:spPr>
        <a:noFill/>
        <a:ln w="6350">
          <a:noFill/>
        </a:ln>
      </c:spPr>
    </c:legend>
    <c:plotVisOnly val="1"/>
    <c:dispBlanksAs val="gap"/>
    <c:showDLblsOverMax val="0"/>
  </c:chart>
  <c:spPr>
    <a:solidFill>
      <a:schemeClr val="bg1"/>
    </a:solidFill>
    <a:ln w="9525">
      <a:solidFill>
        <a:schemeClr val="bg1"/>
      </a:solidFill>
      <a:round/>
    </a:ln>
  </c:spPr>
  <c:txPr>
    <a:bodyPr rot="0" vert="horz"/>
    <a:lstStyle/>
    <a:p>
      <a:pPr>
        <a:defRPr lang="en-US" sz="700" u="none" baseline="0">
          <a:solidFill>
            <a:schemeClr val="tx1"/>
          </a:solidFill>
          <a:latin typeface="Arial"/>
          <a:ea typeface="Arial"/>
          <a:cs typeface="Arial"/>
        </a:defRPr>
      </a:pPr>
    </a:p>
  </c:txPr>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4"/>
          <c:y val="0.1565"/>
          <c:w val="0.86275"/>
          <c:h val="0.5885"/>
        </c:manualLayout>
      </c:layout>
      <c:barChart>
        <c:barDir val="col"/>
        <c:grouping val="stacked"/>
        <c:varyColors val="0"/>
        <c:ser>
          <c:idx val="2"/>
          <c:order val="0"/>
          <c:tx>
            <c:strRef>
              <c:f>Rahoitus!$I$22</c:f>
              <c:strCache>
                <c:ptCount val="1"/>
                <c:pt idx="0">
                  <c:v>Annual repayments of long-term loans</c:v>
                </c:pt>
              </c:strCache>
            </c:strRef>
          </c:tx>
          <c:spPr>
            <a:solidFill>
              <a:srgbClr val="0F172B"/>
            </a:solidFill>
            <a:ln w="6350">
              <a:noFill/>
            </a:ln>
          </c:spPr>
          <c:invertIfNegative val="0"/>
          <c:dLbls>
            <c:numFmt formatCode="General" sourceLinked="1"/>
            <c:showLegendKey val="0"/>
            <c:showVal val="0"/>
            <c:showCatName val="0"/>
            <c:showSerName val="0"/>
            <c:showPercent val="0"/>
            <c:showBubbleSize val="0"/>
            <c:showLeaderLines val="0"/>
          </c:dLbls>
          <c:cat>
            <c:strRef>
              <c:f>Rahoitus!$B$22:$B$33</c:f>
              <c:strCache>
                <c:ptCount val="12"/>
                <c:pt idx="0">
                  <c:v>22</c:v>
                </c:pt>
                <c:pt idx="1">
                  <c:v>23</c:v>
                </c:pt>
                <c:pt idx="2">
                  <c:v>24</c:v>
                </c:pt>
                <c:pt idx="3">
                  <c:v>25</c:v>
                </c:pt>
                <c:pt idx="4">
                  <c:v>26</c:v>
                </c:pt>
                <c:pt idx="5">
                  <c:v>27</c:v>
                </c:pt>
                <c:pt idx="6">
                  <c:v>28</c:v>
                </c:pt>
                <c:pt idx="7">
                  <c:v>29</c:v>
                </c:pt>
                <c:pt idx="8">
                  <c:v>30</c:v>
                </c:pt>
                <c:pt idx="9">
                  <c:v>31</c:v>
                </c:pt>
                <c:pt idx="10">
                  <c:v>32</c:v>
                </c:pt>
                <c:pt idx="11">
                  <c:v>32+</c:v>
                </c:pt>
              </c:strCache>
            </c:strRef>
          </c:cat>
          <c:val>
            <c:numRef>
              <c:f>Rahoitus!$E$22:$E$33</c:f>
              <c:numCache>
                <c:formatCode>General</c:formatCode>
                <c:ptCount val="12"/>
                <c:pt idx="0">
                  <c:v>81</c:v>
                </c:pt>
                <c:pt idx="1">
                  <c:v>172</c:v>
                </c:pt>
                <c:pt idx="2">
                  <c:v>115</c:v>
                </c:pt>
                <c:pt idx="3">
                  <c:v>114</c:v>
                </c:pt>
                <c:pt idx="4">
                  <c:v>188</c:v>
                </c:pt>
                <c:pt idx="5">
                  <c:v>58</c:v>
                </c:pt>
                <c:pt idx="6">
                  <c:v>29</c:v>
                </c:pt>
                <c:pt idx="7">
                  <c:v>12</c:v>
                </c:pt>
                <c:pt idx="8">
                  <c:v>6</c:v>
                </c:pt>
                <c:pt idx="9">
                  <c:v>0</c:v>
                </c:pt>
                <c:pt idx="10">
                  <c:v>0</c:v>
                </c:pt>
                <c:pt idx="11">
                  <c:v>0</c:v>
                </c:pt>
              </c:numCache>
            </c:numRef>
          </c:val>
          <c:extLst>
            <c:ext xmlns:c="http://schemas.openxmlformats.org/drawingml/2006/chart" xmlns:c16="http://schemas.microsoft.com/office/drawing/2014/chart" uri="{C3380CC4-5D6E-409C-BE32-E72D297353CC}">
              <c16:uniqueId val="{00000000-19C2-44E8-A146-9BA143C709C0}"/>
            </c:ext>
          </c:extLst>
        </c:ser>
        <c:gapWidth val="130"/>
        <c:overlap val="100"/>
        <c:axId val="66202065"/>
        <c:axId val="30045768"/>
      </c:barChart>
      <c:catAx>
        <c:axId val="66202065"/>
        <c:scaling>
          <c:orientation val="minMax"/>
        </c:scaling>
        <c:delete val="0"/>
        <c:axPos val="b"/>
        <c:numFmt formatCode="General" sourceLinked="1"/>
        <c:majorTickMark val="none"/>
        <c:minorTickMark val="none"/>
        <c:tickLblPos val="nextTo"/>
        <c:spPr>
          <a:noFill/>
          <a:ln w="9525">
            <a:solidFill>
              <a:schemeClr val="tx1">
                <a:lumMod val="15000"/>
                <a:lumOff val="85000"/>
              </a:schemeClr>
            </a:solidFill>
            <a:round/>
          </a:ln>
        </c:spPr>
        <c:txPr>
          <a:bodyPr/>
          <a:lstStyle/>
          <a:p>
            <a:pPr>
              <a:defRPr lang="en-US" sz="700" b="1" u="none" baseline="0">
                <a:solidFill>
                  <a:schemeClr val="tx1"/>
                </a:solidFill>
                <a:latin typeface="Arial"/>
                <a:ea typeface="Arial"/>
                <a:cs typeface="Arial"/>
              </a:defRPr>
            </a:pPr>
          </a:p>
        </c:txPr>
        <c:crossAx val="30045768"/>
        <c:crosses val="autoZero"/>
        <c:auto val="1"/>
        <c:lblOffset val="100"/>
        <c:noMultiLvlLbl val="0"/>
      </c:catAx>
      <c:valAx>
        <c:axId val="30045768"/>
        <c:scaling>
          <c:orientation val="minMax"/>
        </c:scaling>
        <c:delete val="0"/>
        <c:axPos val="l"/>
        <c:majorGridlines>
          <c:spPr>
            <a:ln w="9525">
              <a:solidFill>
                <a:schemeClr val="tx1">
                  <a:lumMod val="15000"/>
                  <a:lumOff val="85000"/>
                </a:schemeClr>
              </a:solidFill>
              <a:round/>
            </a:ln>
          </c:spPr>
        </c:majorGridlines>
        <c:title>
          <c:tx>
            <c:rich>
              <a:bodyPr rot="0" vertOverflow="clip" vert="horz"/>
              <a:lstStyle/>
              <a:p>
                <a:pPr algn="ctr">
                  <a:defRPr/>
                </a:pPr>
                <a:r>
                  <a:rPr lang="en-US" u="none" baseline="0">
                    <a:solidFill>
                      <a:schemeClr val="tx1"/>
                    </a:solidFill>
                    <a:latin typeface="Arial"/>
                    <a:ea typeface="Arial"/>
                    <a:cs typeface="Arial"/>
                  </a:rPr>
                  <a:t>MEUR</a:t>
                </a:r>
              </a:p>
            </c:rich>
          </c:tx>
          <c:layout>
            <c:manualLayout>
              <c:xMode val="edge"/>
              <c:yMode val="edge"/>
              <c:x val="0.0035"/>
              <c:y val="0.003"/>
            </c:manualLayout>
          </c:layout>
          <c:overlay val="0"/>
          <c:spPr>
            <a:noFill/>
            <a:ln w="6350">
              <a:noFill/>
            </a:ln>
          </c:spPr>
        </c:title>
        <c:numFmt formatCode="#,##0" sourceLinked="0"/>
        <c:majorTickMark val="none"/>
        <c:minorTickMark val="none"/>
        <c:tickLblPos val="nextTo"/>
        <c:spPr>
          <a:noFill/>
          <a:ln w="6350">
            <a:noFill/>
          </a:ln>
        </c:spPr>
        <c:crossAx val="66202065"/>
        <c:crosses val="autoZero"/>
        <c:crossBetween val="between"/>
      </c:valAx>
      <c:spPr>
        <a:noFill/>
        <a:ln w="25400">
          <a:noFill/>
        </a:ln>
      </c:spPr>
    </c:plotArea>
    <c:legend>
      <c:legendPos val="b"/>
      <c:layout>
        <c:manualLayout>
          <c:xMode val="edge"/>
          <c:yMode val="edge"/>
          <c:x val="0.04825"/>
          <c:y val="0.86875"/>
          <c:w val="0.9025"/>
          <c:h val="0.128"/>
        </c:manualLayout>
      </c:layout>
      <c:overlay val="0"/>
      <c:spPr>
        <a:noFill/>
        <a:ln w="6350">
          <a:noFill/>
        </a:ln>
      </c:spPr>
    </c:legend>
    <c:plotVisOnly val="1"/>
    <c:dispBlanksAs val="gap"/>
    <c:showDLblsOverMax val="0"/>
  </c:chart>
  <c:spPr>
    <a:solidFill>
      <a:schemeClr val="bg1"/>
    </a:solidFill>
    <a:ln w="9525">
      <a:solidFill>
        <a:schemeClr val="bg1"/>
      </a:solidFill>
      <a:round/>
    </a:ln>
  </c:spPr>
  <c:txPr>
    <a:bodyPr rot="0" vert="horz"/>
    <a:lstStyle/>
    <a:p>
      <a:pPr>
        <a:defRPr lang="en-US" sz="700" u="none" baseline="0">
          <a:solidFill>
            <a:schemeClr val="tx1"/>
          </a:solidFill>
          <a:latin typeface="Arial"/>
          <a:ea typeface="Arial"/>
          <a:cs typeface="Arial"/>
        </a:defRPr>
      </a:pPr>
    </a:p>
  </c:txPr>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225"/>
          <c:y val="0.169"/>
          <c:w val="0.867"/>
          <c:h val="0.725"/>
        </c:manualLayout>
      </c:layout>
      <c:barChart>
        <c:barDir val="col"/>
        <c:grouping val="stacked"/>
        <c:varyColors val="0"/>
        <c:ser>
          <c:idx val="2"/>
          <c:order val="0"/>
          <c:tx>
            <c:strRef>
              <c:f>Rahoitus!$E$48</c:f>
            </c:strRef>
          </c:tx>
          <c:spPr>
            <a:solidFill>
              <a:srgbClr val="0F172B"/>
            </a:solidFill>
            <a:ln w="6350">
              <a:noFill/>
            </a:ln>
          </c:spPr>
          <c:invertIfNegative val="0"/>
          <c:dLbls>
            <c:numFmt formatCode="General" sourceLinked="1"/>
            <c:showLegendKey val="0"/>
            <c:showVal val="0"/>
            <c:showCatName val="0"/>
            <c:showSerName val="0"/>
            <c:showPercent val="0"/>
            <c:showBubbleSize val="0"/>
            <c:showLeaderLines val="0"/>
          </c:dLbls>
          <c:cat>
            <c:numRef>
              <c:f>Rahoitus!$B$49:$B$53</c:f>
              <c:numCache>
                <c:formatCode>General</c:formatCode>
                <c:ptCount val="5"/>
                <c:pt idx="0">
                  <c:v>2017</c:v>
                </c:pt>
                <c:pt idx="1">
                  <c:v>2018</c:v>
                </c:pt>
                <c:pt idx="2">
                  <c:v>2019</c:v>
                </c:pt>
                <c:pt idx="3">
                  <c:v>2020</c:v>
                </c:pt>
                <c:pt idx="4">
                  <c:v>2021</c:v>
                </c:pt>
              </c:numCache>
            </c:numRef>
          </c:cat>
          <c:val>
            <c:numRef>
              <c:f>Rahoitus!$E$49:$E$53</c:f>
              <c:numCache>
                <c:formatCode>0.00</c:formatCode>
                <c:ptCount val="5"/>
                <c:pt idx="0">
                  <c:v>0.1</c:v>
                </c:pt>
                <c:pt idx="1">
                  <c:v>0.14</c:v>
                </c:pt>
                <c:pt idx="2">
                  <c:v>0.3</c:v>
                </c:pt>
                <c:pt idx="3">
                  <c:v>0.18</c:v>
                </c:pt>
                <c:pt idx="4">
                  <c:v>0</c:v>
                </c:pt>
              </c:numCache>
            </c:numRef>
          </c:val>
          <c:extLst>
            <c:ext xmlns:c="http://schemas.openxmlformats.org/drawingml/2006/chart" xmlns:c16="http://schemas.microsoft.com/office/drawing/2014/chart" uri="{C3380CC4-5D6E-409C-BE32-E72D297353CC}">
              <c16:uniqueId val="{00000000-64BD-485E-A598-B8C3A0067F70}"/>
            </c:ext>
          </c:extLst>
        </c:ser>
        <c:gapWidth val="300"/>
        <c:overlap val="100"/>
        <c:axId val="30274668"/>
        <c:axId val="11089561"/>
      </c:barChart>
      <c:catAx>
        <c:axId val="30274668"/>
        <c:scaling>
          <c:orientation val="minMax"/>
        </c:scaling>
        <c:delete val="0"/>
        <c:axPos val="b"/>
        <c:numFmt formatCode="General" sourceLinked="1"/>
        <c:majorTickMark val="none"/>
        <c:minorTickMark val="none"/>
        <c:tickLblPos val="nextTo"/>
        <c:spPr>
          <a:noFill/>
          <a:ln w="9525">
            <a:solidFill>
              <a:schemeClr val="tx1">
                <a:lumMod val="15000"/>
                <a:lumOff val="85000"/>
              </a:schemeClr>
            </a:solidFill>
            <a:round/>
          </a:ln>
        </c:spPr>
        <c:crossAx val="11089561"/>
        <c:crosses val="autoZero"/>
        <c:auto val="1"/>
        <c:lblOffset val="100"/>
        <c:noMultiLvlLbl val="0"/>
      </c:catAx>
      <c:valAx>
        <c:axId val="11089561"/>
        <c:scaling>
          <c:orientation val="minMax"/>
          <c:max val="0.5"/>
        </c:scaling>
        <c:delete val="0"/>
        <c:axPos val="l"/>
        <c:majorGridlines>
          <c:spPr>
            <a:ln w="9525">
              <a:solidFill>
                <a:schemeClr val="tx1">
                  <a:lumMod val="15000"/>
                  <a:lumOff val="85000"/>
                </a:schemeClr>
              </a:solidFill>
              <a:round/>
            </a:ln>
          </c:spPr>
        </c:majorGridlines>
        <c:numFmt formatCode="#,##0.00" sourceLinked="0"/>
        <c:majorTickMark val="none"/>
        <c:minorTickMark val="none"/>
        <c:tickLblPos val="nextTo"/>
        <c:spPr>
          <a:noFill/>
          <a:ln w="6350">
            <a:noFill/>
          </a:ln>
        </c:spPr>
        <c:txPr>
          <a:bodyPr/>
          <a:lstStyle/>
          <a:p>
            <a:pPr>
              <a:defRPr lang="en-US" sz="700" b="0" u="none" baseline="0">
                <a:solidFill>
                  <a:schemeClr val="tx1"/>
                </a:solidFill>
                <a:latin typeface="Arial"/>
                <a:ea typeface="Arial"/>
                <a:cs typeface="Arial"/>
              </a:defRPr>
            </a:pPr>
          </a:p>
        </c:txPr>
        <c:crossAx val="30274668"/>
        <c:crosses val="autoZero"/>
        <c:crossBetween val="between"/>
        <c:majorUnit val="0.1"/>
      </c:valAx>
      <c:spPr>
        <a:noFill/>
        <a:ln w="25400">
          <a:noFill/>
        </a:ln>
      </c:spPr>
    </c:plotArea>
    <c:plotVisOnly val="1"/>
    <c:dispBlanksAs val="gap"/>
    <c:showDLblsOverMax val="0"/>
  </c:chart>
  <c:spPr>
    <a:solidFill>
      <a:schemeClr val="bg1"/>
    </a:solidFill>
    <a:ln w="9525">
      <a:solidFill>
        <a:schemeClr val="bg1"/>
      </a:solidFill>
      <a:round/>
    </a:ln>
  </c:spPr>
  <c:txPr>
    <a:bodyPr rot="0" vert="horz"/>
    <a:lstStyle/>
    <a:p>
      <a:pPr>
        <a:defRPr lang="en-US" sz="700" b="1" u="none" baseline="0">
          <a:solidFill>
            <a:schemeClr val="tx1"/>
          </a:solidFill>
          <a:latin typeface="Arial"/>
          <a:ea typeface="Arial"/>
          <a:cs typeface="Arial"/>
        </a:defRPr>
      </a:pPr>
    </a:p>
  </c:txPr>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75"/>
          <c:y val="0.19225"/>
          <c:w val="0.828"/>
          <c:h val="0.70175"/>
        </c:manualLayout>
      </c:layout>
      <c:barChart>
        <c:barDir val="col"/>
        <c:grouping val="stacked"/>
        <c:varyColors val="0"/>
        <c:ser>
          <c:idx val="2"/>
          <c:order val="0"/>
          <c:tx>
            <c:strRef>
              <c:f>Rahoitus!$E$36</c:f>
              <c:strCache>
                <c:ptCount val="1"/>
                <c:pt idx="0">
                  <c:v>Vahvistetut luottolimiittisopimukset (kauden lopussa)</c:v>
                </c:pt>
              </c:strCache>
            </c:strRef>
          </c:tx>
          <c:spPr>
            <a:solidFill>
              <a:srgbClr val="0F172B"/>
            </a:solidFill>
            <a:ln w="6350">
              <a:noFill/>
            </a:ln>
          </c:spPr>
          <c:invertIfNegative val="0"/>
          <c:dLbls>
            <c:numFmt formatCode="General" sourceLinked="1"/>
            <c:showLegendKey val="0"/>
            <c:showVal val="0"/>
            <c:showCatName val="0"/>
            <c:showSerName val="0"/>
            <c:showPercent val="0"/>
            <c:showBubbleSize val="0"/>
            <c:showLeaderLines val="0"/>
          </c:dLbls>
          <c:cat>
            <c:numRef>
              <c:f>Rahoitus!$B$38:$B$44</c:f>
              <c:numCache>
                <c:formatCode>General</c:formatCode>
                <c:ptCount val="7"/>
                <c:pt idx="0">
                  <c:v>2021</c:v>
                </c:pt>
                <c:pt idx="1">
                  <c:v>2022</c:v>
                </c:pt>
                <c:pt idx="2">
                  <c:v>2023</c:v>
                </c:pt>
                <c:pt idx="3">
                  <c:v>2024</c:v>
                </c:pt>
                <c:pt idx="4">
                  <c:v>2025</c:v>
                </c:pt>
                <c:pt idx="5">
                  <c:v>2026</c:v>
                </c:pt>
                <c:pt idx="6">
                  <c:v>2027</c:v>
                </c:pt>
              </c:numCache>
            </c:numRef>
          </c:cat>
          <c:val>
            <c:numRef>
              <c:f>Rahoitus!$E$38:$E$44</c:f>
              <c:numCache>
                <c:formatCode>General</c:formatCode>
                <c:ptCount val="7"/>
                <c:pt idx="0">
                  <c:v>650</c:v>
                </c:pt>
                <c:pt idx="1">
                  <c:v>510</c:v>
                </c:pt>
                <c:pt idx="2">
                  <c:v>280</c:v>
                </c:pt>
                <c:pt idx="3">
                  <c:v>150</c:v>
                </c:pt>
                <c:pt idx="4">
                  <c:v>50</c:v>
                </c:pt>
                <c:pt idx="5">
                  <c:v>0</c:v>
                </c:pt>
              </c:numCache>
            </c:numRef>
          </c:val>
          <c:extLst>
            <c:ext xmlns:c="http://schemas.openxmlformats.org/drawingml/2006/chart" xmlns:c16="http://schemas.microsoft.com/office/drawing/2014/chart" uri="{C3380CC4-5D6E-409C-BE32-E72D297353CC}">
              <c16:uniqueId val="{00000000-79BE-4107-AB14-3569D1682B71}"/>
            </c:ext>
          </c:extLst>
        </c:ser>
        <c:gapWidth val="200"/>
        <c:overlap val="100"/>
        <c:axId val="43052031"/>
        <c:axId val="50998034"/>
      </c:barChart>
      <c:catAx>
        <c:axId val="43052031"/>
        <c:scaling>
          <c:orientation val="minMax"/>
        </c:scaling>
        <c:delete val="0"/>
        <c:axPos val="b"/>
        <c:numFmt formatCode="General" sourceLinked="1"/>
        <c:majorTickMark val="none"/>
        <c:minorTickMark val="none"/>
        <c:tickLblPos val="nextTo"/>
        <c:spPr>
          <a:noFill/>
          <a:ln w="9525">
            <a:solidFill>
              <a:schemeClr val="tx1">
                <a:lumMod val="15000"/>
                <a:lumOff val="85000"/>
              </a:schemeClr>
            </a:solidFill>
            <a:round/>
          </a:ln>
        </c:spPr>
        <c:txPr>
          <a:bodyPr/>
          <a:lstStyle/>
          <a:p>
            <a:pPr>
              <a:defRPr lang="en-US" sz="700" b="1" u="none" baseline="0">
                <a:solidFill>
                  <a:schemeClr val="tx1"/>
                </a:solidFill>
                <a:latin typeface="Arial"/>
                <a:ea typeface="Arial"/>
                <a:cs typeface="Arial"/>
              </a:defRPr>
            </a:pPr>
          </a:p>
        </c:txPr>
        <c:crossAx val="50998034"/>
        <c:crosses val="autoZero"/>
        <c:auto val="1"/>
        <c:lblOffset val="100"/>
        <c:noMultiLvlLbl val="0"/>
      </c:catAx>
      <c:valAx>
        <c:axId val="50998034"/>
        <c:scaling>
          <c:orientation val="minMax"/>
          <c:max val="750"/>
        </c:scaling>
        <c:delete val="0"/>
        <c:axPos val="l"/>
        <c:majorGridlines>
          <c:spPr>
            <a:ln w="9525">
              <a:solidFill>
                <a:schemeClr val="tx1">
                  <a:lumMod val="15000"/>
                  <a:lumOff val="85000"/>
                </a:schemeClr>
              </a:solidFill>
              <a:round/>
            </a:ln>
          </c:spPr>
        </c:majorGridlines>
        <c:title>
          <c:tx>
            <c:rich>
              <a:bodyPr rot="0" vertOverflow="clip" vert="horz"/>
              <a:lstStyle/>
              <a:p>
                <a:pPr algn="ctr">
                  <a:defRPr/>
                </a:pPr>
                <a:r>
                  <a:rPr lang="en-US" u="none" baseline="0">
                    <a:solidFill>
                      <a:schemeClr val="tx1"/>
                    </a:solidFill>
                    <a:latin typeface="Arial"/>
                    <a:ea typeface="Arial"/>
                    <a:cs typeface="Arial"/>
                  </a:rPr>
                  <a:t>MEUR</a:t>
                </a:r>
              </a:p>
            </c:rich>
          </c:tx>
          <c:layout>
            <c:manualLayout>
              <c:xMode val="edge"/>
              <c:yMode val="edge"/>
              <c:x val="0.0035"/>
              <c:y val="0.007"/>
            </c:manualLayout>
          </c:layout>
          <c:overlay val="0"/>
          <c:spPr>
            <a:noFill/>
            <a:ln w="6350">
              <a:noFill/>
            </a:ln>
          </c:spPr>
        </c:title>
        <c:numFmt formatCode="#,##0" sourceLinked="0"/>
        <c:majorTickMark val="none"/>
        <c:minorTickMark val="none"/>
        <c:tickLblPos val="nextTo"/>
        <c:spPr>
          <a:noFill/>
          <a:ln w="6350">
            <a:noFill/>
          </a:ln>
        </c:spPr>
        <c:crossAx val="43052031"/>
        <c:crosses val="autoZero"/>
        <c:crossBetween val="between"/>
        <c:majorUnit val="150"/>
      </c:valAx>
      <c:spPr>
        <a:noFill/>
        <a:ln w="25400">
          <a:noFill/>
        </a:ln>
      </c:spPr>
    </c:plotArea>
    <c:plotVisOnly val="1"/>
    <c:dispBlanksAs val="gap"/>
    <c:showDLblsOverMax val="0"/>
  </c:chart>
  <c:spPr>
    <a:solidFill>
      <a:schemeClr val="bg1"/>
    </a:solidFill>
    <a:ln w="9525">
      <a:solidFill>
        <a:schemeClr val="bg1"/>
      </a:solidFill>
      <a:round/>
    </a:ln>
  </c:spPr>
  <c:txPr>
    <a:bodyPr rot="0" vert="horz"/>
    <a:lstStyle/>
    <a:p>
      <a:pPr>
        <a:defRPr lang="en-US" sz="700" u="none" baseline="0">
          <a:solidFill>
            <a:schemeClr val="tx1"/>
          </a:solidFill>
          <a:latin typeface="Arial"/>
          <a:ea typeface="Arial"/>
          <a:cs typeface="Arial"/>
        </a:defRPr>
      </a:pPr>
    </a:p>
  </c:txPr>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675"/>
          <c:y val="0.132"/>
          <c:w val="0.88325"/>
          <c:h val="0.57225"/>
        </c:manualLayout>
      </c:layout>
      <c:barChart>
        <c:barDir val="col"/>
        <c:grouping val="stacked"/>
        <c:varyColors val="0"/>
        <c:ser>
          <c:idx val="0"/>
          <c:order val="0"/>
          <c:tx>
            <c:strRef>
              <c:f>Bruttoinvestoinnit!$E$21</c:f>
              <c:strCache>
                <c:ptCount val="1"/>
                <c:pt idx="0">
                  <c:v>Other capital expenditure</c:v>
                </c:pt>
              </c:strCache>
            </c:strRef>
          </c:tx>
          <c:spPr>
            <a:solidFill>
              <a:srgbClr val="0F334A"/>
            </a:solidFill>
            <a:ln w="6350">
              <a:solidFill>
                <a:srgbClr val="0F334A"/>
              </a:solidFill>
            </a:ln>
          </c:spPr>
          <c:invertIfNegative val="0"/>
          <c:dLbls>
            <c:numFmt formatCode="General" sourceLinked="1"/>
            <c:showLegendKey val="0"/>
            <c:showVal val="0"/>
            <c:showCatName val="0"/>
            <c:showSerName val="0"/>
            <c:showPercent val="0"/>
            <c:showBubbleSize val="0"/>
            <c:showLeaderLines val="0"/>
          </c:dLbls>
          <c:cat>
            <c:numRef>
              <c:f>Bruttoinvestoinnit!$B$6:$B$10</c:f>
              <c:numCache>
                <c:formatCode>General</c:formatCode>
                <c:ptCount val="5"/>
                <c:pt idx="0">
                  <c:v>2017</c:v>
                </c:pt>
                <c:pt idx="1">
                  <c:v>2018</c:v>
                </c:pt>
                <c:pt idx="2">
                  <c:v>2019</c:v>
                </c:pt>
                <c:pt idx="3">
                  <c:v>2020</c:v>
                </c:pt>
                <c:pt idx="4">
                  <c:v>2021</c:v>
                </c:pt>
              </c:numCache>
            </c:numRef>
          </c:cat>
          <c:val>
            <c:numRef>
              <c:f>Bruttoinvestoinnit!$E$6:$E$10</c:f>
              <c:numCache>
                <c:formatCode>General</c:formatCode>
                <c:ptCount val="5"/>
                <c:pt idx="0">
                  <c:v>64</c:v>
                </c:pt>
                <c:pt idx="1">
                  <c:v>110</c:v>
                </c:pt>
                <c:pt idx="2">
                  <c:v>116</c:v>
                </c:pt>
                <c:pt idx="3">
                  <c:v>115</c:v>
                </c:pt>
                <c:pt idx="4">
                  <c:v>142</c:v>
                </c:pt>
              </c:numCache>
            </c:numRef>
          </c:val>
          <c:extLst>
            <c:ext xmlns:c="http://schemas.openxmlformats.org/drawingml/2006/chart" xmlns:c16="http://schemas.microsoft.com/office/drawing/2014/chart" uri="{C3380CC4-5D6E-409C-BE32-E72D297353CC}">
              <c16:uniqueId val="{00000000-BF0E-44D4-A3DA-0F5BDB517DC9}"/>
            </c:ext>
          </c:extLst>
        </c:ser>
        <c:ser>
          <c:idx val="1"/>
          <c:order val="1"/>
          <c:tx>
            <c:strRef>
              <c:f>Bruttoinvestoinnit!$I$21</c:f>
              <c:strCache>
                <c:ptCount val="1"/>
                <c:pt idx="0">
                  <c:v>Related to acquisitions</c:v>
                </c:pt>
              </c:strCache>
            </c:strRef>
          </c:tx>
          <c:spPr>
            <a:solidFill>
              <a:srgbClr val="CCCCCC"/>
            </a:solidFill>
            <a:ln w="6350">
              <a:solidFill>
                <a:srgbClr val="CCCCCC"/>
              </a:solidFill>
            </a:ln>
          </c:spPr>
          <c:invertIfNegative val="0"/>
          <c:dLbls>
            <c:numFmt formatCode="General" sourceLinked="1"/>
            <c:showLegendKey val="0"/>
            <c:showVal val="0"/>
            <c:showCatName val="0"/>
            <c:showSerName val="0"/>
            <c:showPercent val="0"/>
            <c:showBubbleSize val="0"/>
            <c:showLeaderLines val="0"/>
          </c:dLbls>
          <c:cat>
            <c:numRef>
              <c:f>Bruttoinvestoinnit!$B$6:$B$10</c:f>
              <c:numCache>
                <c:formatCode>General</c:formatCode>
                <c:ptCount val="5"/>
                <c:pt idx="0">
                  <c:v>2017</c:v>
                </c:pt>
                <c:pt idx="1">
                  <c:v>2018</c:v>
                </c:pt>
                <c:pt idx="2">
                  <c:v>2019</c:v>
                </c:pt>
                <c:pt idx="3">
                  <c:v>2020</c:v>
                </c:pt>
                <c:pt idx="4">
                  <c:v>2021</c:v>
                </c:pt>
              </c:numCache>
            </c:numRef>
          </c:cat>
          <c:val>
            <c:numRef>
              <c:f>Bruttoinvestoinnit!$I$6:$I$10</c:f>
              <c:numCache>
                <c:formatCode>General</c:formatCode>
                <c:ptCount val="5"/>
                <c:pt idx="0">
                  <c:v>191</c:v>
                </c:pt>
                <c:pt idx="1">
                  <c:v>196</c:v>
                </c:pt>
                <c:pt idx="2">
                  <c:v>6</c:v>
                </c:pt>
                <c:pt idx="3">
                  <c:v>2</c:v>
                </c:pt>
                <c:pt idx="4">
                  <c:v>1</c:v>
                </c:pt>
              </c:numCache>
            </c:numRef>
          </c:val>
          <c:extLst>
            <c:ext xmlns:c="http://schemas.openxmlformats.org/drawingml/2006/chart" xmlns:c16="http://schemas.microsoft.com/office/drawing/2014/chart" uri="{C3380CC4-5D6E-409C-BE32-E72D297353CC}">
              <c16:uniqueId val="{00000001-BF0E-44D4-A3DA-0F5BDB517DC9}"/>
            </c:ext>
          </c:extLst>
        </c:ser>
        <c:gapWidth val="500"/>
        <c:overlap val="100"/>
        <c:axId val="58390632"/>
        <c:axId val="27125530"/>
      </c:barChart>
      <c:lineChart>
        <c:grouping val="standard"/>
        <c:varyColors val="0"/>
        <c:ser>
          <c:idx val="2"/>
          <c:order val="2"/>
          <c:tx>
            <c:strRef>
              <c:f>Bruttoinvestoinnit!$M$21</c:f>
              <c:strCache>
                <c:ptCount val="1"/>
                <c:pt idx="0">
                  <c:v>Depreciation, amortisation, and impairment</c:v>
                </c:pt>
              </c:strCache>
            </c:strRef>
          </c:tx>
          <c:spPr>
            <a:ln w="22225" cap="rnd">
              <a:solidFill>
                <a:srgbClr val="FF7321"/>
              </a:solidFill>
              <a:round/>
            </a:ln>
          </c:spPr>
          <c:marker>
            <c:symbol val="none"/>
          </c:marker>
          <c:dLbls>
            <c:numFmt formatCode="General" sourceLinked="1"/>
            <c:showLegendKey val="0"/>
            <c:showVal val="0"/>
            <c:showCatName val="0"/>
            <c:showSerName val="0"/>
            <c:showPercent val="0"/>
            <c:showBubbleSize val="0"/>
            <c:showLeaderLines val="0"/>
          </c:dLbls>
          <c:cat>
            <c:numRef>
              <c:f>Bruttoinvestoinnit!$B$6:$B$10</c:f>
              <c:numCache>
                <c:formatCode>General</c:formatCode>
                <c:ptCount val="5"/>
                <c:pt idx="0">
                  <c:v>2017</c:v>
                </c:pt>
                <c:pt idx="1">
                  <c:v>2018</c:v>
                </c:pt>
                <c:pt idx="2">
                  <c:v>2019</c:v>
                </c:pt>
                <c:pt idx="3">
                  <c:v>2020</c:v>
                </c:pt>
                <c:pt idx="4">
                  <c:v>2021</c:v>
                </c:pt>
              </c:numCache>
            </c:numRef>
          </c:cat>
          <c:val>
            <c:numRef>
              <c:f>Bruttoinvestoinnit!$M$6:$M$10</c:f>
              <c:numCache>
                <c:formatCode>General</c:formatCode>
                <c:ptCount val="5"/>
                <c:pt idx="0">
                  <c:v>134</c:v>
                </c:pt>
                <c:pt idx="1">
                  <c:v>130</c:v>
                </c:pt>
                <c:pt idx="2">
                  <c:v>180</c:v>
                </c:pt>
                <c:pt idx="3">
                  <c:v>174</c:v>
                </c:pt>
                <c:pt idx="4">
                  <c:v>162</c:v>
                </c:pt>
              </c:numCache>
            </c:numRef>
          </c:val>
          <c:smooth val="0"/>
          <c:extLst>
            <c:ext xmlns:c="http://schemas.openxmlformats.org/drawingml/2006/chart" xmlns:c16="http://schemas.microsoft.com/office/drawing/2014/chart" uri="{C3380CC4-5D6E-409C-BE32-E72D297353CC}">
              <c16:uniqueId val="{00000002-BF0E-44D4-A3DA-0F5BDB517DC9}"/>
            </c:ext>
          </c:extLst>
        </c:ser>
        <c:marker val="1"/>
        <c:axId val="58390632"/>
        <c:axId val="27125530"/>
      </c:lineChart>
      <c:catAx>
        <c:axId val="58390632"/>
        <c:scaling>
          <c:orientation val="minMax"/>
        </c:scaling>
        <c:delete val="0"/>
        <c:axPos val="b"/>
        <c:numFmt formatCode="General" sourceLinked="1"/>
        <c:majorTickMark val="none"/>
        <c:minorTickMark val="none"/>
        <c:tickLblPos val="nextTo"/>
        <c:spPr>
          <a:noFill/>
          <a:ln w="9525">
            <a:solidFill>
              <a:schemeClr val="tx1">
                <a:lumMod val="15000"/>
                <a:lumOff val="85000"/>
              </a:schemeClr>
            </a:solidFill>
            <a:round/>
          </a:ln>
        </c:spPr>
        <c:txPr>
          <a:bodyPr/>
          <a:lstStyle/>
          <a:p>
            <a:pPr>
              <a:defRPr lang="en-US" sz="700" b="1" u="none" baseline="0">
                <a:solidFill>
                  <a:schemeClr val="tx1"/>
                </a:solidFill>
                <a:latin typeface="Arial"/>
                <a:ea typeface="Arial"/>
                <a:cs typeface="Arial"/>
              </a:defRPr>
            </a:pPr>
          </a:p>
        </c:txPr>
        <c:crossAx val="27125530"/>
        <c:crosses val="autoZero"/>
        <c:auto val="1"/>
        <c:lblOffset val="100"/>
        <c:noMultiLvlLbl val="0"/>
      </c:catAx>
      <c:valAx>
        <c:axId val="27125530"/>
        <c:scaling>
          <c:orientation val="minMax"/>
          <c:max val="400"/>
        </c:scaling>
        <c:delete val="0"/>
        <c:axPos val="l"/>
        <c:majorGridlines>
          <c:spPr>
            <a:ln w="9525">
              <a:solidFill>
                <a:schemeClr val="tx1">
                  <a:lumMod val="15000"/>
                  <a:lumOff val="85000"/>
                </a:schemeClr>
              </a:solidFill>
              <a:round/>
            </a:ln>
          </c:spPr>
        </c:majorGridlines>
        <c:title>
          <c:tx>
            <c:rich>
              <a:bodyPr rot="0" vertOverflow="clip" vert="horz"/>
              <a:lstStyle/>
              <a:p>
                <a:pPr algn="ctr">
                  <a:defRPr/>
                </a:pPr>
                <a:r>
                  <a:rPr lang="en-US" u="none" baseline="0">
                    <a:solidFill>
                      <a:schemeClr val="tx1"/>
                    </a:solidFill>
                    <a:latin typeface="Arial"/>
                    <a:ea typeface="Arial"/>
                    <a:cs typeface="Arial"/>
                  </a:rPr>
                  <a:t>MEUR</a:t>
                </a:r>
              </a:p>
            </c:rich>
          </c:tx>
          <c:layout>
            <c:manualLayout>
              <c:xMode val="edge"/>
              <c:yMode val="edge"/>
              <c:x val="0"/>
              <c:y val="0.00275"/>
            </c:manualLayout>
          </c:layout>
          <c:overlay val="0"/>
          <c:spPr>
            <a:noFill/>
            <a:ln w="6350">
              <a:noFill/>
            </a:ln>
          </c:spPr>
        </c:title>
        <c:numFmt formatCode="General" sourceLinked="1"/>
        <c:majorTickMark val="none"/>
        <c:minorTickMark val="none"/>
        <c:tickLblPos val="nextTo"/>
        <c:spPr>
          <a:noFill/>
          <a:ln w="6350">
            <a:noFill/>
          </a:ln>
        </c:spPr>
        <c:crossAx val="58390632"/>
        <c:crosses val="autoZero"/>
        <c:crossBetween val="between"/>
        <c:majorUnit val="100"/>
      </c:valAx>
      <c:spPr>
        <a:noFill/>
        <a:ln w="6350">
          <a:noFill/>
        </a:ln>
      </c:spPr>
    </c:plotArea>
    <c:legend>
      <c:legendPos val="b"/>
      <c:layout>
        <c:manualLayout>
          <c:xMode val="edge"/>
          <c:yMode val="edge"/>
          <c:x val="0.0245"/>
          <c:y val="0.812"/>
          <c:w val="0.668"/>
          <c:h val="0.18225"/>
        </c:manualLayout>
      </c:layout>
      <c:overlay val="0"/>
      <c:spPr>
        <a:noFill/>
        <a:ln w="6350">
          <a:noFill/>
        </a:ln>
      </c:spPr>
    </c:legend>
    <c:plotVisOnly val="1"/>
    <c:dispBlanksAs val="gap"/>
    <c:showDLblsOverMax val="0"/>
  </c:chart>
  <c:spPr>
    <a:solidFill>
      <a:schemeClr val="bg1"/>
    </a:solidFill>
    <a:ln w="9525">
      <a:solidFill>
        <a:schemeClr val="bg1"/>
      </a:solidFill>
      <a:round/>
    </a:ln>
  </c:spPr>
  <c:txPr>
    <a:bodyPr rot="0" vert="horz"/>
    <a:lstStyle/>
    <a:p>
      <a:pPr>
        <a:defRPr lang="en-US" sz="700" u="none" baseline="0">
          <a:solidFill>
            <a:schemeClr val="tx1"/>
          </a:solidFill>
          <a:latin typeface="Arial"/>
          <a:ea typeface="Arial"/>
          <a:cs typeface="Arial"/>
        </a:defRPr>
      </a:pPr>
    </a:p>
  </c:txPr>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125"/>
          <c:y val="0.1755"/>
          <c:w val="0.81125"/>
          <c:h val="0.5825"/>
        </c:manualLayout>
      </c:layout>
      <c:barChart>
        <c:barDir val="col"/>
        <c:grouping val="clustered"/>
        <c:varyColors val="0"/>
        <c:ser>
          <c:idx val="0"/>
          <c:order val="0"/>
          <c:tx>
            <c:strRef>
              <c:f>'Tutkimus- ja kehitysmenot'!$E$15</c:f>
              <c:strCache>
                <c:ptCount val="1"/>
                <c:pt idx="0">
                  <c:v>R&amp;D expenditure</c:v>
                </c:pt>
              </c:strCache>
            </c:strRef>
          </c:tx>
          <c:spPr>
            <a:solidFill>
              <a:srgbClr val="0F334A"/>
            </a:solidFill>
            <a:ln w="6350">
              <a:solidFill>
                <a:srgbClr val="0F334A"/>
              </a:solidFill>
            </a:ln>
          </c:spPr>
          <c:invertIfNegative val="0"/>
          <c:dLbls>
            <c:numFmt formatCode="General" sourceLinked="1"/>
            <c:showLegendKey val="0"/>
            <c:showVal val="0"/>
            <c:showCatName val="0"/>
            <c:showSerName val="0"/>
            <c:showPercent val="0"/>
            <c:showBubbleSize val="0"/>
            <c:showLeaderLines val="0"/>
          </c:dLbls>
          <c:cat>
            <c:numRef>
              <c:f>'Tutkimus- ja kehitysmenot'!$B$6:$B$10</c:f>
              <c:numCache>
                <c:formatCode>General</c:formatCode>
                <c:ptCount val="5"/>
                <c:pt idx="0">
                  <c:v>2017</c:v>
                </c:pt>
                <c:pt idx="1">
                  <c:v>2018</c:v>
                </c:pt>
                <c:pt idx="2">
                  <c:v>2019</c:v>
                </c:pt>
                <c:pt idx="3">
                  <c:v>2020</c:v>
                </c:pt>
                <c:pt idx="4">
                  <c:v>2021</c:v>
                </c:pt>
              </c:numCache>
            </c:numRef>
          </c:cat>
          <c:val>
            <c:numRef>
              <c:f>'Tutkimus- ja kehitysmenot'!$E$6:$E$10</c:f>
              <c:numCache>
                <c:formatCode>General</c:formatCode>
                <c:ptCount val="5"/>
                <c:pt idx="0">
                  <c:v>141</c:v>
                </c:pt>
                <c:pt idx="1">
                  <c:v>165</c:v>
                </c:pt>
                <c:pt idx="2">
                  <c:v>164</c:v>
                </c:pt>
                <c:pt idx="3">
                  <c:v>153</c:v>
                </c:pt>
                <c:pt idx="4">
                  <c:v>175</c:v>
                </c:pt>
              </c:numCache>
            </c:numRef>
          </c:val>
          <c:extLst>
            <c:ext xmlns:c="http://schemas.openxmlformats.org/drawingml/2006/chart" xmlns:c16="http://schemas.microsoft.com/office/drawing/2014/chart" uri="{C3380CC4-5D6E-409C-BE32-E72D297353CC}">
              <c16:uniqueId val="{00000000-0E7F-43E9-B392-60EE0D9BDB29}"/>
            </c:ext>
          </c:extLst>
        </c:ser>
        <c:gapWidth val="500"/>
        <c:axId val="11364529"/>
        <c:axId val="38470608"/>
      </c:barChart>
      <c:lineChart>
        <c:grouping val="standard"/>
        <c:varyColors val="0"/>
        <c:ser>
          <c:idx val="1"/>
          <c:order val="1"/>
          <c:tx>
            <c:strRef>
              <c:f>'Tutkimus- ja kehitysmenot'!$I$15</c:f>
              <c:strCache>
                <c:ptCount val="1"/>
                <c:pt idx="0">
                  <c:v>Percentage of net sales</c:v>
                </c:pt>
              </c:strCache>
            </c:strRef>
          </c:tx>
          <c:spPr>
            <a:ln w="22225" cap="rnd">
              <a:solidFill>
                <a:srgbClr val="FF7321"/>
              </a:solidFill>
              <a:round/>
            </a:ln>
          </c:spPr>
          <c:marker>
            <c:symbol val="none"/>
          </c:marker>
          <c:dLbls>
            <c:numFmt formatCode="General" sourceLinked="1"/>
            <c:showLegendKey val="0"/>
            <c:showVal val="0"/>
            <c:showCatName val="0"/>
            <c:showSerName val="0"/>
            <c:showPercent val="0"/>
            <c:showBubbleSize val="0"/>
            <c:showLeaderLines val="0"/>
          </c:dLbls>
          <c:cat>
            <c:numRef>
              <c:f>'Tutkimus- ja kehitysmenot'!$B$6:$B$10</c:f>
              <c:numCache>
                <c:formatCode>General</c:formatCode>
                <c:ptCount val="5"/>
                <c:pt idx="0">
                  <c:v>2017</c:v>
                </c:pt>
                <c:pt idx="1">
                  <c:v>2018</c:v>
                </c:pt>
                <c:pt idx="2">
                  <c:v>2019</c:v>
                </c:pt>
                <c:pt idx="3">
                  <c:v>2020</c:v>
                </c:pt>
                <c:pt idx="4">
                  <c:v>2021</c:v>
                </c:pt>
              </c:numCache>
            </c:numRef>
          </c:cat>
          <c:val>
            <c:numRef>
              <c:f>'Tutkimus- ja kehitysmenot'!$I$6:$I$10</c:f>
              <c:numCache>
                <c:formatCode>General</c:formatCode>
                <c:ptCount val="5"/>
                <c:pt idx="0">
                  <c:v>2.9</c:v>
                </c:pt>
                <c:pt idx="1" formatCode="0.0">
                  <c:v>3.2</c:v>
                </c:pt>
                <c:pt idx="2">
                  <c:v>3.2</c:v>
                </c:pt>
                <c:pt idx="3">
                  <c:v>3.3</c:v>
                </c:pt>
                <c:pt idx="4">
                  <c:v>3.7</c:v>
                </c:pt>
              </c:numCache>
            </c:numRef>
          </c:val>
          <c:smooth val="0"/>
          <c:extLst>
            <c:ext xmlns:c="http://schemas.openxmlformats.org/drawingml/2006/chart" xmlns:c16="http://schemas.microsoft.com/office/drawing/2014/chart" uri="{C3380CC4-5D6E-409C-BE32-E72D297353CC}">
              <c16:uniqueId val="{00000001-0E7F-43E9-B392-60EE0D9BDB29}"/>
            </c:ext>
          </c:extLst>
        </c:ser>
        <c:marker val="1"/>
        <c:axId val="61975055"/>
        <c:axId val="43214834"/>
      </c:lineChart>
      <c:catAx>
        <c:axId val="11364529"/>
        <c:scaling>
          <c:orientation val="minMax"/>
        </c:scaling>
        <c:delete val="0"/>
        <c:axPos val="b"/>
        <c:numFmt formatCode="General" sourceLinked="1"/>
        <c:majorTickMark val="none"/>
        <c:minorTickMark val="none"/>
        <c:tickLblPos val="nextTo"/>
        <c:spPr>
          <a:noFill/>
          <a:ln w="9525">
            <a:solidFill>
              <a:schemeClr val="tx1">
                <a:lumMod val="15000"/>
                <a:lumOff val="85000"/>
              </a:schemeClr>
            </a:solidFill>
            <a:round/>
          </a:ln>
        </c:spPr>
        <c:txPr>
          <a:bodyPr/>
          <a:lstStyle/>
          <a:p>
            <a:pPr>
              <a:defRPr lang="en-US" sz="700" b="1" u="none" baseline="0">
                <a:solidFill>
                  <a:schemeClr val="tx1"/>
                </a:solidFill>
                <a:latin typeface="Arial"/>
                <a:ea typeface="Arial"/>
                <a:cs typeface="Arial"/>
              </a:defRPr>
            </a:pPr>
          </a:p>
        </c:txPr>
        <c:crossAx val="38470608"/>
        <c:crosses val="autoZero"/>
        <c:auto val="1"/>
        <c:lblOffset val="100"/>
        <c:noMultiLvlLbl val="0"/>
      </c:catAx>
      <c:valAx>
        <c:axId val="38470608"/>
        <c:scaling>
          <c:orientation val="minMax"/>
          <c:max val="200"/>
        </c:scaling>
        <c:delete val="0"/>
        <c:axPos val="l"/>
        <c:majorGridlines>
          <c:spPr>
            <a:ln w="9525">
              <a:solidFill>
                <a:schemeClr val="tx1">
                  <a:lumMod val="15000"/>
                  <a:lumOff val="85000"/>
                </a:schemeClr>
              </a:solidFill>
              <a:round/>
            </a:ln>
          </c:spPr>
        </c:majorGridlines>
        <c:title>
          <c:tx>
            <c:rich>
              <a:bodyPr rot="0" vertOverflow="clip" vert="horz"/>
              <a:lstStyle/>
              <a:p>
                <a:pPr algn="ctr">
                  <a:defRPr/>
                </a:pPr>
                <a:r>
                  <a:rPr lang="en-US" u="none" baseline="0">
                    <a:solidFill>
                      <a:schemeClr val="tx1"/>
                    </a:solidFill>
                    <a:latin typeface="Arial"/>
                    <a:ea typeface="Arial"/>
                    <a:cs typeface="Arial"/>
                  </a:rPr>
                  <a:t>MEUR</a:t>
                </a:r>
              </a:p>
            </c:rich>
          </c:tx>
          <c:layout>
            <c:manualLayout>
              <c:xMode val="edge"/>
              <c:yMode val="edge"/>
              <c:x val="0"/>
              <c:y val="0.00275"/>
            </c:manualLayout>
          </c:layout>
          <c:overlay val="0"/>
          <c:spPr>
            <a:noFill/>
            <a:ln w="6350">
              <a:noFill/>
            </a:ln>
          </c:spPr>
        </c:title>
        <c:numFmt formatCode="General" sourceLinked="1"/>
        <c:majorTickMark val="none"/>
        <c:minorTickMark val="none"/>
        <c:tickLblPos val="nextTo"/>
        <c:spPr>
          <a:noFill/>
          <a:ln w="6350">
            <a:noFill/>
          </a:ln>
        </c:spPr>
        <c:crossAx val="11364529"/>
        <c:crosses val="autoZero"/>
        <c:crossBetween val="between"/>
        <c:majorUnit val="50"/>
      </c:valAx>
      <c:catAx>
        <c:axId val="61975055"/>
        <c:scaling>
          <c:orientation val="minMax"/>
        </c:scaling>
        <c:delete val="1"/>
        <c:axPos val="b"/>
        <c:numFmt formatCode="General" sourceLinked="1"/>
        <c:majorTickMark val="none"/>
        <c:minorTickMark val="none"/>
        <c:tickLblPos val="nextTo"/>
        <c:spPr>
          <a:noFill/>
          <a:ln w="9525">
            <a:solidFill>
              <a:schemeClr val="tx1">
                <a:lumMod val="15000"/>
                <a:lumOff val="85000"/>
              </a:schemeClr>
            </a:solidFill>
            <a:round/>
          </a:ln>
        </c:spPr>
        <c:txPr>
          <a:bodyPr/>
          <a:lstStyle/>
          <a:p>
            <a:pPr>
              <a:defRPr lang="en-US" sz="700" b="1" u="none" baseline="0">
                <a:solidFill>
                  <a:schemeClr val="tx1"/>
                </a:solidFill>
                <a:latin typeface="Arial"/>
                <a:ea typeface="Arial"/>
                <a:cs typeface="Arial"/>
              </a:defRPr>
            </a:pPr>
          </a:p>
        </c:txPr>
        <c:crossAx val="43214834"/>
        <c:crosses val="autoZero"/>
        <c:auto val="1"/>
        <c:lblOffset val="100"/>
        <c:noMultiLvlLbl val="0"/>
      </c:catAx>
      <c:valAx>
        <c:axId val="43214834"/>
        <c:scaling>
          <c:orientation val="minMax"/>
          <c:max val="4"/>
          <c:min val="0"/>
        </c:scaling>
        <c:delete val="0"/>
        <c:axPos val="l"/>
        <c:title>
          <c:tx>
            <c:rich>
              <a:bodyPr rot="0" vertOverflow="clip" vert="horz"/>
              <a:lstStyle/>
              <a:p>
                <a:pPr algn="ctr">
                  <a:defRPr/>
                </a:pPr>
                <a:r>
                  <a:rPr lang="en-US" u="none" baseline="0">
                    <a:solidFill>
                      <a:schemeClr val="tx1"/>
                    </a:solidFill>
                    <a:latin typeface="Arial"/>
                    <a:ea typeface="Arial"/>
                    <a:cs typeface="Arial"/>
                  </a:rPr>
                  <a:t>%</a:t>
                </a:r>
              </a:p>
            </c:rich>
          </c:tx>
          <c:layout>
            <c:manualLayout>
              <c:xMode val="edge"/>
              <c:yMode val="edge"/>
              <c:x val="0.92975"/>
              <c:y val="0.01325"/>
            </c:manualLayout>
          </c:layout>
          <c:overlay val="0"/>
          <c:spPr>
            <a:noFill/>
            <a:ln w="6350">
              <a:noFill/>
            </a:ln>
          </c:spPr>
        </c:title>
        <c:numFmt formatCode="#,##0.0" sourceLinked="0"/>
        <c:majorTickMark val="out"/>
        <c:minorTickMark val="none"/>
        <c:tickLblPos val="nextTo"/>
        <c:spPr>
          <a:noFill/>
          <a:ln w="6350">
            <a:noFill/>
          </a:ln>
        </c:spPr>
        <c:crossAx val="61975055"/>
        <c:crosses val="max"/>
        <c:crossBetween val="between"/>
        <c:majorUnit val="1"/>
      </c:valAx>
      <c:spPr>
        <a:noFill/>
        <a:ln w="25400">
          <a:noFill/>
        </a:ln>
      </c:spPr>
    </c:plotArea>
    <c:legend>
      <c:legendPos val="b"/>
      <c:layout>
        <c:manualLayout>
          <c:xMode val="edge"/>
          <c:yMode val="edge"/>
          <c:x val="0.00075"/>
          <c:y val="0.88975"/>
          <c:w val="0.69425"/>
          <c:h val="0.10725"/>
        </c:manualLayout>
      </c:layout>
      <c:overlay val="0"/>
      <c:spPr>
        <a:noFill/>
        <a:ln w="6350">
          <a:noFill/>
        </a:ln>
      </c:spPr>
    </c:legend>
    <c:plotVisOnly val="1"/>
    <c:dispBlanksAs val="gap"/>
    <c:showDLblsOverMax val="0"/>
  </c:chart>
  <c:spPr>
    <a:solidFill>
      <a:schemeClr val="bg1"/>
    </a:solidFill>
    <a:ln w="9525">
      <a:solidFill>
        <a:schemeClr val="bg1"/>
      </a:solidFill>
      <a:round/>
    </a:ln>
  </c:spPr>
  <c:txPr>
    <a:bodyPr rot="0" vert="horz"/>
    <a:lstStyle/>
    <a:p>
      <a:pPr>
        <a:defRPr lang="en-US" sz="700" u="none" baseline="0">
          <a:solidFill>
            <a:schemeClr val="tx1"/>
          </a:solidFill>
          <a:latin typeface="Arial"/>
          <a:ea typeface="Arial"/>
          <a:cs typeface="Arial"/>
        </a:defRPr>
      </a:pPr>
    </a:p>
  </c:txPr>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1"/>
          <c:y val="0.14"/>
          <c:w val="0.827"/>
          <c:h val="0.593"/>
        </c:manualLayout>
      </c:layout>
      <c:barChart>
        <c:barDir val="col"/>
        <c:grouping val="clustered"/>
        <c:varyColors val="0"/>
        <c:ser>
          <c:idx val="0"/>
          <c:order val="0"/>
          <c:tx>
            <c:strRef>
              <c:f>Henkilöstö!$E$20</c:f>
              <c:strCache>
                <c:ptCount val="1"/>
                <c:pt idx="0">
                  <c:v>Personnel at the end of the financial period</c:v>
                </c:pt>
              </c:strCache>
            </c:strRef>
          </c:tx>
          <c:spPr>
            <a:solidFill>
              <a:srgbClr val="0F334A"/>
            </a:solidFill>
            <a:ln w="6350">
              <a:solidFill>
                <a:srgbClr val="0F334A"/>
              </a:solidFill>
            </a:ln>
          </c:spPr>
          <c:invertIfNegative val="0"/>
          <c:dLbls>
            <c:numFmt formatCode="General" sourceLinked="1"/>
            <c:showLegendKey val="0"/>
            <c:showVal val="0"/>
            <c:showCatName val="0"/>
            <c:showSerName val="0"/>
            <c:showPercent val="0"/>
            <c:showBubbleSize val="0"/>
            <c:showLeaderLines val="0"/>
          </c:dLbls>
          <c:cat>
            <c:numRef>
              <c:f>Henkilöstö!$B$6:$B$10</c:f>
              <c:numCache>
                <c:formatCode>General</c:formatCode>
                <c:ptCount val="5"/>
                <c:pt idx="0">
                  <c:v>2017</c:v>
                </c:pt>
                <c:pt idx="1">
                  <c:v>2018</c:v>
                </c:pt>
                <c:pt idx="2">
                  <c:v>2019</c:v>
                </c:pt>
                <c:pt idx="3">
                  <c:v>2020</c:v>
                </c:pt>
                <c:pt idx="4">
                  <c:v>2021</c:v>
                </c:pt>
              </c:numCache>
            </c:numRef>
          </c:cat>
          <c:val>
            <c:numRef>
              <c:f>Henkilöstö!$E$6:$E$10</c:f>
              <c:numCache>
                <c:formatCode>#,##0</c:formatCode>
                <c:ptCount val="5"/>
                <c:pt idx="0">
                  <c:v>18065</c:v>
                </c:pt>
                <c:pt idx="1">
                  <c:v>19294</c:v>
                </c:pt>
                <c:pt idx="2">
                  <c:v>18795</c:v>
                </c:pt>
                <c:pt idx="3">
                  <c:v>17792</c:v>
                </c:pt>
                <c:pt idx="4">
                  <c:v>17305</c:v>
                </c:pt>
              </c:numCache>
            </c:numRef>
          </c:val>
          <c:extLst>
            <c:ext xmlns:c="http://schemas.openxmlformats.org/drawingml/2006/chart" xmlns:c16="http://schemas.microsoft.com/office/drawing/2014/chart" uri="{C3380CC4-5D6E-409C-BE32-E72D297353CC}">
              <c16:uniqueId val="{00000000-0127-4B15-872A-076B0E0A93E6}"/>
            </c:ext>
          </c:extLst>
        </c:ser>
        <c:gapWidth val="500"/>
        <c:axId val="25208605"/>
        <c:axId val="23127288"/>
      </c:barChart>
      <c:lineChart>
        <c:grouping val="standard"/>
        <c:varyColors val="0"/>
        <c:ser>
          <c:idx val="1"/>
          <c:order val="1"/>
          <c:tx>
            <c:strRef>
              <c:f>Henkilöstö!$I$20</c:f>
              <c:strCache>
                <c:ptCount val="1"/>
                <c:pt idx="0">
                  <c:v>Personnel on average</c:v>
                </c:pt>
              </c:strCache>
            </c:strRef>
          </c:tx>
          <c:spPr>
            <a:ln w="22225" cap="rnd">
              <a:solidFill>
                <a:schemeClr val="accent3"/>
              </a:solidFill>
              <a:round/>
            </a:ln>
          </c:spPr>
          <c:marker>
            <c:symbol val="none"/>
          </c:marker>
          <c:dLbls>
            <c:numFmt formatCode="General" sourceLinked="1"/>
            <c:showLegendKey val="0"/>
            <c:showVal val="0"/>
            <c:showCatName val="0"/>
            <c:showSerName val="0"/>
            <c:showPercent val="0"/>
            <c:showBubbleSize val="0"/>
            <c:showLeaderLines val="0"/>
          </c:dLbls>
          <c:cat>
            <c:numRef>
              <c:f>Henkilöstö!$B$6:$B$10</c:f>
              <c:numCache>
                <c:formatCode>General</c:formatCode>
                <c:ptCount val="5"/>
                <c:pt idx="0">
                  <c:v>2017</c:v>
                </c:pt>
                <c:pt idx="1">
                  <c:v>2018</c:v>
                </c:pt>
                <c:pt idx="2">
                  <c:v>2019</c:v>
                </c:pt>
                <c:pt idx="3">
                  <c:v>2020</c:v>
                </c:pt>
                <c:pt idx="4">
                  <c:v>2021</c:v>
                </c:pt>
              </c:numCache>
            </c:numRef>
          </c:cat>
          <c:val>
            <c:numRef>
              <c:f>Henkilöstö!$I$6:$I$10</c:f>
              <c:numCache>
                <c:formatCode>#,##0</c:formatCode>
                <c:ptCount val="5"/>
                <c:pt idx="0">
                  <c:v>17866</c:v>
                </c:pt>
                <c:pt idx="1">
                  <c:v>18899</c:v>
                </c:pt>
                <c:pt idx="2">
                  <c:v>19110</c:v>
                </c:pt>
                <c:pt idx="3">
                  <c:v>18307</c:v>
                </c:pt>
                <c:pt idx="4">
                  <c:v>17461</c:v>
                </c:pt>
              </c:numCache>
            </c:numRef>
          </c:val>
          <c:smooth val="0"/>
          <c:extLst>
            <c:ext xmlns:c="http://schemas.openxmlformats.org/drawingml/2006/chart" xmlns:c16="http://schemas.microsoft.com/office/drawing/2014/chart" uri="{C3380CC4-5D6E-409C-BE32-E72D297353CC}">
              <c16:uniqueId val="{00000001-0127-4B15-872A-076B0E0A93E6}"/>
            </c:ext>
          </c:extLst>
        </c:ser>
        <c:ser>
          <c:idx val="2"/>
          <c:order val="2"/>
          <c:tx>
            <c:strRef>
              <c:f>Henkilöstö!$M$20</c:f>
              <c:strCache>
                <c:ptCount val="1"/>
                <c:pt idx="0">
                  <c:v>Personnel in Finland</c:v>
                </c:pt>
              </c:strCache>
            </c:strRef>
          </c:tx>
          <c:spPr>
            <a:ln w="22225" cap="rnd">
              <a:solidFill>
                <a:srgbClr val="FF7321"/>
              </a:solidFill>
              <a:round/>
            </a:ln>
          </c:spPr>
          <c:marker>
            <c:symbol val="none"/>
          </c:marker>
          <c:dLbls>
            <c:numFmt formatCode="General" sourceLinked="1"/>
            <c:showLegendKey val="0"/>
            <c:showVal val="0"/>
            <c:showCatName val="0"/>
            <c:showSerName val="0"/>
            <c:showPercent val="0"/>
            <c:showBubbleSize val="0"/>
            <c:showLeaderLines val="0"/>
          </c:dLbls>
          <c:cat>
            <c:numRef>
              <c:f>Henkilöstö!$B$6:$B$10</c:f>
              <c:numCache>
                <c:formatCode>General</c:formatCode>
                <c:ptCount val="5"/>
                <c:pt idx="0">
                  <c:v>2017</c:v>
                </c:pt>
                <c:pt idx="1">
                  <c:v>2018</c:v>
                </c:pt>
                <c:pt idx="2">
                  <c:v>2019</c:v>
                </c:pt>
                <c:pt idx="3">
                  <c:v>2020</c:v>
                </c:pt>
                <c:pt idx="4">
                  <c:v>2021</c:v>
                </c:pt>
              </c:numCache>
            </c:numRef>
          </c:cat>
          <c:val>
            <c:numRef>
              <c:f>Henkilöstö!$M$6:$M$10</c:f>
              <c:numCache>
                <c:formatCode>#,##0</c:formatCode>
                <c:ptCount val="5"/>
                <c:pt idx="0">
                  <c:v>3521</c:v>
                </c:pt>
                <c:pt idx="1">
                  <c:v>3766</c:v>
                </c:pt>
                <c:pt idx="2">
                  <c:v>3868</c:v>
                </c:pt>
                <c:pt idx="3">
                  <c:v>3706</c:v>
                </c:pt>
                <c:pt idx="4">
                  <c:v>3687</c:v>
                </c:pt>
              </c:numCache>
            </c:numRef>
          </c:val>
          <c:smooth val="0"/>
          <c:extLst>
            <c:ext xmlns:c="http://schemas.openxmlformats.org/drawingml/2006/chart" xmlns:c16="http://schemas.microsoft.com/office/drawing/2014/chart" uri="{C3380CC4-5D6E-409C-BE32-E72D297353CC}">
              <c16:uniqueId val="{00000002-0127-4B15-872A-076B0E0A93E6}"/>
            </c:ext>
          </c:extLst>
        </c:ser>
        <c:marker val="1"/>
        <c:axId val="25208605"/>
        <c:axId val="23127288"/>
      </c:lineChart>
      <c:catAx>
        <c:axId val="25208605"/>
        <c:scaling>
          <c:orientation val="minMax"/>
        </c:scaling>
        <c:delete val="0"/>
        <c:axPos val="b"/>
        <c:numFmt formatCode="General" sourceLinked="1"/>
        <c:majorTickMark val="none"/>
        <c:minorTickMark val="none"/>
        <c:tickLblPos val="nextTo"/>
        <c:spPr>
          <a:noFill/>
          <a:ln w="9525">
            <a:solidFill>
              <a:schemeClr val="tx1">
                <a:lumMod val="15000"/>
                <a:lumOff val="85000"/>
              </a:schemeClr>
            </a:solidFill>
            <a:round/>
          </a:ln>
        </c:spPr>
        <c:txPr>
          <a:bodyPr/>
          <a:lstStyle/>
          <a:p>
            <a:pPr>
              <a:defRPr lang="en-US" sz="700" b="1" u="none" baseline="0">
                <a:solidFill>
                  <a:schemeClr val="tx1"/>
                </a:solidFill>
                <a:latin typeface="Arial"/>
                <a:ea typeface="Arial"/>
                <a:cs typeface="Arial"/>
              </a:defRPr>
            </a:pPr>
          </a:p>
        </c:txPr>
        <c:crossAx val="23127288"/>
        <c:crosses val="autoZero"/>
        <c:auto val="1"/>
        <c:lblOffset val="100"/>
        <c:noMultiLvlLbl val="0"/>
      </c:catAx>
      <c:valAx>
        <c:axId val="23127288"/>
        <c:scaling>
          <c:orientation val="minMax"/>
          <c:max val="20000"/>
        </c:scaling>
        <c:delete val="0"/>
        <c:axPos val="l"/>
        <c:majorGridlines>
          <c:spPr>
            <a:ln w="9525">
              <a:solidFill>
                <a:schemeClr val="tx1">
                  <a:lumMod val="15000"/>
                  <a:lumOff val="85000"/>
                </a:schemeClr>
              </a:solidFill>
              <a:round/>
            </a:ln>
          </c:spPr>
        </c:majorGridlines>
        <c:numFmt formatCode="#,##0" sourceLinked="0"/>
        <c:majorTickMark val="none"/>
        <c:minorTickMark val="none"/>
        <c:tickLblPos val="nextTo"/>
        <c:spPr>
          <a:noFill/>
          <a:ln w="6350">
            <a:noFill/>
          </a:ln>
        </c:spPr>
        <c:crossAx val="25208605"/>
        <c:crosses val="autoZero"/>
        <c:crossBetween val="between"/>
        <c:majorUnit val="5000"/>
      </c:valAx>
      <c:spPr>
        <a:noFill/>
        <a:ln w="25400">
          <a:noFill/>
        </a:ln>
      </c:spPr>
    </c:plotArea>
    <c:legend>
      <c:legendPos val="b"/>
      <c:layout>
        <c:manualLayout>
          <c:xMode val="edge"/>
          <c:yMode val="edge"/>
          <c:x val="0.097"/>
          <c:y val="0.84375"/>
          <c:w val="0.76925"/>
          <c:h val="0.1535"/>
        </c:manualLayout>
      </c:layout>
      <c:overlay val="0"/>
      <c:spPr>
        <a:noFill/>
        <a:ln w="6350">
          <a:noFill/>
        </a:ln>
      </c:spPr>
    </c:legend>
    <c:plotVisOnly val="1"/>
    <c:dispBlanksAs val="gap"/>
    <c:showDLblsOverMax val="0"/>
  </c:chart>
  <c:spPr>
    <a:solidFill>
      <a:schemeClr val="bg1"/>
    </a:solidFill>
    <a:ln w="9525">
      <a:solidFill>
        <a:schemeClr val="bg1"/>
      </a:solidFill>
      <a:round/>
    </a:ln>
  </c:spPr>
  <c:txPr>
    <a:bodyPr rot="0" vert="horz"/>
    <a:lstStyle/>
    <a:p>
      <a:pPr>
        <a:defRPr lang="en-US" sz="700" u="none" baseline="0">
          <a:solidFill>
            <a:schemeClr val="tx1"/>
          </a:solidFill>
          <a:latin typeface="Arial"/>
          <a:ea typeface="Arial"/>
          <a:cs typeface="Arial"/>
        </a:defRPr>
      </a:pPr>
    </a:p>
  </c:txPr>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
          <c:y val="0.14375"/>
          <c:w val="0.89"/>
          <c:h val="0.58825"/>
        </c:manualLayout>
      </c:layout>
      <c:barChart>
        <c:barDir val="col"/>
        <c:grouping val="stacked"/>
        <c:varyColors val="0"/>
        <c:ser>
          <c:idx val="0"/>
          <c:order val="0"/>
          <c:tx>
            <c:strRef>
              <c:f>Osinko!$E$22</c:f>
              <c:strCache>
                <c:ptCount val="1"/>
                <c:pt idx="0">
                  <c:v>Dividend per share</c:v>
                </c:pt>
              </c:strCache>
            </c:strRef>
          </c:tx>
          <c:spPr>
            <a:solidFill>
              <a:srgbClr val="0F334A"/>
            </a:solidFill>
            <a:ln w="6350">
              <a:solidFill>
                <a:srgbClr val="0F334A"/>
              </a:solidFill>
            </a:ln>
          </c:spPr>
          <c:invertIfNegative val="0"/>
          <c:dLbls>
            <c:dLbl>
              <c:idx val="0"/>
              <c:layout>
                <c:manualLayout>
                  <c:x val="0"/>
                  <c:y val="-0.1105"/>
                </c:manualLayout>
              </c:layout>
              <c:numFmt formatCode="General" sourceLinked="1"/>
              <c:spPr>
                <a:noFill/>
                <a:ln w="6350">
                  <a:noFill/>
                </a:ln>
              </c:spPr>
              <c:txPr>
                <a:bodyPr rot="0" vert="horz">
                  <a:spAutoFit/>
                </a:bodyPr>
                <a:lstStyle/>
                <a:p>
                  <a:pPr algn="ctr">
                    <a:defRPr lang="en-US" sz="600" u="none" baseline="0">
                      <a:solidFill>
                        <a:schemeClr val="tx1"/>
                      </a:solidFill>
                      <a:latin typeface="Arial"/>
                      <a:ea typeface="Arial"/>
                      <a:cs typeface="Arial"/>
                    </a:defRPr>
                  </a:pPr>
                </a:p>
              </c:txPr>
              <c:showLegendKey val="0"/>
              <c:showVal val="1"/>
              <c:showCatName val="0"/>
              <c:showSerName val="0"/>
              <c:showPercent val="0"/>
              <c:showBubbleSize val="0"/>
              <c:extLst>
                <c:ext xmlns:c15="http://schemas.microsoft.com/office/drawing/2012/chart" uri="{CE6537A1-D6FC-4f65-9D91-7224C49458BB}">
                  <c15:showDataLabelsRange val="0"/>
                </c:ext>
              </c:extLst>
            </c:dLbl>
            <c:dLbl>
              <c:idx val="1"/>
              <c:layout>
                <c:manualLayout>
                  <c:x val="0"/>
                  <c:y val="-0.11675"/>
                </c:manualLayout>
              </c:layout>
              <c:numFmt formatCode="General" sourceLinked="1"/>
              <c:spPr>
                <a:noFill/>
                <a:ln w="6350">
                  <a:noFill/>
                </a:ln>
              </c:spPr>
              <c:txPr>
                <a:bodyPr rot="0" vert="horz">
                  <a:spAutoFit/>
                </a:bodyPr>
                <a:lstStyle/>
                <a:p>
                  <a:pPr algn="ctr">
                    <a:defRPr lang="en-US" sz="600" u="none" baseline="0">
                      <a:solidFill>
                        <a:schemeClr val="tx1"/>
                      </a:solidFill>
                      <a:latin typeface="Arial"/>
                      <a:ea typeface="Arial"/>
                      <a:cs typeface="Arial"/>
                    </a:defRPr>
                  </a:pPr>
                </a:p>
              </c:txPr>
              <c:showLegendKey val="0"/>
              <c:showVal val="1"/>
              <c:showCatName val="0"/>
              <c:showSerName val="0"/>
              <c:showPercent val="0"/>
              <c:showBubbleSize val="0"/>
              <c:extLst>
                <c:ext xmlns:c15="http://schemas.microsoft.com/office/drawing/2012/chart" uri="{CE6537A1-D6FC-4f65-9D91-7224C49458BB}">
                  <c15:showDataLabelsRange val="0"/>
                </c:ext>
              </c:extLst>
            </c:dLbl>
            <c:dLbl>
              <c:idx val="2"/>
              <c:layout>
                <c:manualLayout>
                  <c:x val="0"/>
                  <c:y val="-0.12975"/>
                </c:manualLayout>
              </c:layout>
              <c:numFmt formatCode="General" sourceLinked="1"/>
              <c:spPr>
                <a:noFill/>
                <a:ln w="6350">
                  <a:noFill/>
                </a:ln>
              </c:spPr>
              <c:txPr>
                <a:bodyPr rot="0" vert="horz">
                  <a:spAutoFit/>
                </a:bodyPr>
                <a:lstStyle/>
                <a:p>
                  <a:pPr algn="ctr">
                    <a:defRPr lang="en-US" sz="600" u="none" baseline="0">
                      <a:solidFill>
                        <a:schemeClr val="tx1"/>
                      </a:solidFill>
                      <a:latin typeface="Arial"/>
                      <a:ea typeface="Arial"/>
                      <a:cs typeface="Arial"/>
                    </a:defRPr>
                  </a:pPr>
                </a:p>
              </c:txPr>
              <c:showLegendKey val="0"/>
              <c:showVal val="1"/>
              <c:showCatName val="0"/>
              <c:showSerName val="0"/>
              <c:showPercent val="0"/>
              <c:showBubbleSize val="0"/>
              <c:extLst>
                <c:ext xmlns:c15="http://schemas.microsoft.com/office/drawing/2012/chart" uri="{CE6537A1-D6FC-4f65-9D91-7224C49458BB}">
                  <c15:showDataLabelsRange val="0"/>
                </c:ext>
              </c:extLst>
            </c:dLbl>
            <c:dLbl>
              <c:idx val="3"/>
              <c:layout>
                <c:manualLayout>
                  <c:x val="0"/>
                  <c:y val="-0.13575"/>
                </c:manualLayout>
              </c:layout>
              <c:numFmt formatCode="General" sourceLinked="1"/>
              <c:spPr>
                <a:noFill/>
                <a:ln w="6350">
                  <a:noFill/>
                </a:ln>
              </c:spPr>
              <c:txPr>
                <a:bodyPr rot="0" vert="horz">
                  <a:spAutoFit/>
                </a:bodyPr>
                <a:lstStyle/>
                <a:p>
                  <a:pPr algn="ctr">
                    <a:defRPr lang="en-US" sz="600" u="none" baseline="0">
                      <a:solidFill>
                        <a:schemeClr val="tx1"/>
                      </a:solidFill>
                      <a:latin typeface="Arial"/>
                      <a:ea typeface="Arial"/>
                      <a:cs typeface="Arial"/>
                    </a:defRPr>
                  </a:pPr>
                </a:p>
              </c:txPr>
              <c:showLegendKey val="0"/>
              <c:showVal val="1"/>
              <c:showCatName val="0"/>
              <c:showSerName val="0"/>
              <c:showPercent val="0"/>
              <c:showBubbleSize val="0"/>
              <c:extLst>
                <c:ext xmlns:c15="http://schemas.microsoft.com/office/drawing/2012/chart" uri="{CE6537A1-D6FC-4f65-9D91-7224C49458BB}">
                  <c15:showDataLabelsRange val="0"/>
                </c:ext>
              </c:extLst>
            </c:dLbl>
            <c:dLbl>
              <c:idx val="4"/>
              <c:layout>
                <c:manualLayout>
                  <c:x val="0"/>
                  <c:y val="-0.14225"/>
                </c:manualLayout>
              </c:layout>
              <c:numFmt formatCode="General" sourceLinked="1"/>
              <c:spPr>
                <a:noFill/>
                <a:ln w="6350">
                  <a:noFill/>
                </a:ln>
              </c:spPr>
              <c:txPr>
                <a:bodyPr rot="0" vert="horz">
                  <a:spAutoFit/>
                </a:bodyPr>
                <a:lstStyle/>
                <a:p>
                  <a:pPr algn="ctr">
                    <a:defRPr lang="en-US" sz="600" u="none" baseline="0">
                      <a:solidFill>
                        <a:schemeClr val="tx1"/>
                      </a:solidFill>
                      <a:latin typeface="Arial"/>
                      <a:ea typeface="Arial"/>
                      <a:cs typeface="Arial"/>
                    </a:defRPr>
                  </a:pPr>
                </a:p>
              </c:txPr>
              <c:showLegendKey val="0"/>
              <c:showVal val="1"/>
              <c:showCatName val="0"/>
              <c:showSerName val="0"/>
              <c:showPercent val="0"/>
              <c:showBubbleSize val="0"/>
              <c:extLst>
                <c:ext xmlns:c15="http://schemas.microsoft.com/office/drawing/2012/chart" uri="{CE6537A1-D6FC-4f65-9D91-7224C49458BB}">
                  <c15:showDataLabelsRange val="0"/>
                </c:ext>
              </c:extLst>
            </c:dLbl>
            <c:dLbl>
              <c:idx val="5"/>
              <c:layout>
                <c:manualLayout>
                  <c:x val="0"/>
                  <c:y val="-0.1485"/>
                </c:manualLayout>
              </c:layout>
              <c:numFmt formatCode="General" sourceLinked="1"/>
              <c:spPr>
                <a:noFill/>
                <a:ln w="6350">
                  <a:noFill/>
                </a:ln>
              </c:spPr>
              <c:txPr>
                <a:bodyPr rot="0" vert="horz">
                  <a:spAutoFit/>
                </a:bodyPr>
                <a:lstStyle/>
                <a:p>
                  <a:pPr algn="ctr">
                    <a:defRPr lang="en-US" sz="600" u="none" baseline="0">
                      <a:solidFill>
                        <a:schemeClr val="tx1"/>
                      </a:solidFill>
                      <a:latin typeface="Arial"/>
                      <a:ea typeface="Arial"/>
                      <a:cs typeface="Arial"/>
                    </a:defRPr>
                  </a:pPr>
                </a:p>
              </c:txPr>
              <c:showLegendKey val="0"/>
              <c:showVal val="1"/>
              <c:showCatName val="0"/>
              <c:showSerName val="0"/>
              <c:showPercent val="0"/>
              <c:showBubbleSize val="0"/>
              <c:extLst>
                <c:ext xmlns:c15="http://schemas.microsoft.com/office/drawing/2012/chart" uri="{CE6537A1-D6FC-4f65-9D91-7224C49458BB}">
                  <c15:showDataLabelsRange val="0"/>
                </c:ext>
              </c:extLst>
            </c:dLbl>
            <c:dLbl>
              <c:idx val="6"/>
              <c:layout>
                <c:manualLayout>
                  <c:x val="0"/>
                  <c:y val="-0.155"/>
                </c:manualLayout>
              </c:layout>
              <c:numFmt formatCode="General" sourceLinked="1"/>
              <c:spPr>
                <a:noFill/>
                <a:ln w="6350">
                  <a:noFill/>
                </a:ln>
              </c:spPr>
              <c:txPr>
                <a:bodyPr rot="0" vert="horz">
                  <a:spAutoFit/>
                </a:bodyPr>
                <a:lstStyle/>
                <a:p>
                  <a:pPr algn="ctr">
                    <a:defRPr lang="en-US" sz="600" u="none" baseline="0">
                      <a:solidFill>
                        <a:schemeClr val="tx1"/>
                      </a:solidFill>
                      <a:latin typeface="Arial"/>
                      <a:ea typeface="Arial"/>
                      <a:cs typeface="Arial"/>
                    </a:defRPr>
                  </a:pPr>
                </a:p>
              </c:txPr>
              <c:showLegendKey val="0"/>
              <c:showVal val="1"/>
              <c:showCatName val="0"/>
              <c:showSerName val="0"/>
              <c:showPercent val="0"/>
              <c:showBubbleSize val="0"/>
              <c:extLst>
                <c:ext xmlns:c15="http://schemas.microsoft.com/office/drawing/2012/chart" uri="{CE6537A1-D6FC-4f65-9D91-7224C49458BB}">
                  <c15:showDataLabelsRange val="0"/>
                </c:ext>
              </c:extLst>
            </c:dLbl>
            <c:dLbl>
              <c:idx val="7"/>
              <c:layout>
                <c:manualLayout>
                  <c:x val="0"/>
                  <c:y val="-0.16125"/>
                </c:manualLayout>
              </c:layout>
              <c:numFmt formatCode="General" sourceLinked="1"/>
              <c:spPr>
                <a:noFill/>
                <a:ln w="6350">
                  <a:noFill/>
                </a:ln>
              </c:spPr>
              <c:txPr>
                <a:bodyPr rot="0" vert="horz">
                  <a:spAutoFit/>
                </a:bodyPr>
                <a:lstStyle/>
                <a:p>
                  <a:pPr algn="ctr">
                    <a:defRPr lang="en-US" sz="600" u="none" baseline="0">
                      <a:solidFill>
                        <a:schemeClr val="tx1"/>
                      </a:solidFill>
                      <a:latin typeface="Arial"/>
                      <a:ea typeface="Arial"/>
                      <a:cs typeface="Arial"/>
                    </a:defRPr>
                  </a:pPr>
                </a:p>
              </c:txPr>
              <c:showLegendKey val="0"/>
              <c:showVal val="1"/>
              <c:showCatName val="0"/>
              <c:showSerName val="0"/>
              <c:showPercent val="0"/>
              <c:showBubbleSize val="0"/>
              <c:extLst>
                <c:ext xmlns:c15="http://schemas.microsoft.com/office/drawing/2012/chart" uri="{CE6537A1-D6FC-4f65-9D91-7224C49458BB}">
                  <c15:showDataLabelsRange val="0"/>
                </c:ext>
              </c:extLst>
            </c:dLbl>
            <c:dLbl>
              <c:idx val="8"/>
              <c:layout>
                <c:manualLayout>
                  <c:x val="0"/>
                  <c:y val="-0.1165"/>
                </c:manualLayout>
              </c:layout>
              <c:numFmt formatCode="General" sourceLinked="1"/>
              <c:spPr>
                <a:noFill/>
                <a:ln w="6350">
                  <a:noFill/>
                </a:ln>
              </c:spPr>
              <c:txPr>
                <a:bodyPr rot="0" vert="horz">
                  <a:spAutoFit/>
                </a:bodyPr>
                <a:lstStyle/>
                <a:p>
                  <a:pPr algn="ctr">
                    <a:defRPr lang="en-US" sz="600" u="none" baseline="0">
                      <a:solidFill>
                        <a:schemeClr val="tx1"/>
                      </a:solidFill>
                      <a:latin typeface="Arial"/>
                      <a:ea typeface="Arial"/>
                      <a:cs typeface="Arial"/>
                    </a:defRPr>
                  </a:pPr>
                </a:p>
              </c:txPr>
              <c:showLegendKey val="0"/>
              <c:showVal val="1"/>
              <c:showCatName val="0"/>
              <c:showSerName val="0"/>
              <c:showPercent val="0"/>
              <c:showBubbleSize val="0"/>
              <c:extLst>
                <c:ext xmlns:c15="http://schemas.microsoft.com/office/drawing/2012/chart" uri="{CE6537A1-D6FC-4f65-9D91-7224C49458BB}">
                  <c15:showDataLabelsRange val="0"/>
                </c:ext>
              </c:extLst>
            </c:dLbl>
            <c:dLbl>
              <c:idx val="9"/>
              <c:layout>
                <c:manualLayout>
                  <c:x val="0"/>
                  <c:y val="-0.096"/>
                </c:manualLayout>
              </c:layout>
              <c:numFmt formatCode="General" sourceLinked="1"/>
              <c:spPr>
                <a:noFill/>
                <a:ln w="6350">
                  <a:noFill/>
                </a:ln>
              </c:spPr>
              <c:txPr>
                <a:bodyPr rot="0" vert="horz">
                  <a:spAutoFit/>
                </a:bodyPr>
                <a:lstStyle/>
                <a:p>
                  <a:pPr algn="ctr">
                    <a:defRPr lang="en-US" sz="600" u="none" baseline="0">
                      <a:solidFill>
                        <a:schemeClr val="tx1"/>
                      </a:solidFill>
                      <a:latin typeface="Arial"/>
                      <a:ea typeface="Arial"/>
                      <a:cs typeface="Arial"/>
                    </a:defRPr>
                  </a:pPr>
                </a:p>
              </c:txPr>
              <c:showLegendKey val="0"/>
              <c:showVal val="1"/>
              <c:showCatName val="0"/>
              <c:showSerName val="0"/>
              <c:showPercent val="0"/>
              <c:showBubbleSize val="0"/>
              <c:extLst>
                <c:ext xmlns:c15="http://schemas.microsoft.com/office/drawing/2012/chart" uri="{CE6537A1-D6FC-4f65-9D91-7224C49458BB}">
                  <c15:showDataLabelsRange val="0"/>
                </c:ext>
              </c:extLst>
            </c:dLbl>
            <c:numFmt formatCode="General" sourceLinked="1"/>
            <c:spPr>
              <a:noFill/>
              <a:ln w="6350">
                <a:noFill/>
              </a:ln>
            </c:spPr>
            <c:txPr>
              <a:bodyPr rot="0" vert="horz">
                <a:spAutoFit/>
              </a:bodyPr>
              <a:lstStyle/>
              <a:p>
                <a:pPr algn="ctr">
                  <a:defRPr lang="en-US" sz="600" u="none" baseline="0">
                    <a:solidFill>
                      <a:schemeClr val="tx1"/>
                    </a:solidFill>
                    <a:latin typeface="Arial"/>
                    <a:ea typeface="Arial"/>
                    <a:cs typeface="Arial"/>
                  </a:defRPr>
                </a:pPr>
              </a:p>
            </c:txPr>
            <c:showLegendKey val="0"/>
            <c:showVal val="1"/>
            <c:showCatName val="0"/>
            <c:showSerName val="0"/>
            <c:showPercent val="0"/>
            <c:showBubbleSize val="0"/>
            <c:showLeaderLines val="0"/>
            <c:extLst>
              <c:ext xmlns:c15="http://schemas.microsoft.com/office/drawing/2012/chart" uri="{CE6537A1-D6FC-4f65-9D91-7224C49458BB}"/>
            </c:extLst>
          </c:dLbls>
          <c:cat>
            <c:numRef>
              <c:f>Osinko!$B$6:$B$15</c:f>
              <c:numCache>
                <c:formatCode>General</c:formatCode>
                <c:ptCount val="10"/>
                <c:pt idx="0">
                  <c:v>12</c:v>
                </c:pt>
                <c:pt idx="1">
                  <c:v>13</c:v>
                </c:pt>
                <c:pt idx="2">
                  <c:v>14</c:v>
                </c:pt>
                <c:pt idx="3">
                  <c:v>15</c:v>
                </c:pt>
                <c:pt idx="4">
                  <c:v>16</c:v>
                </c:pt>
                <c:pt idx="5">
                  <c:v>17</c:v>
                </c:pt>
                <c:pt idx="6">
                  <c:v>18</c:v>
                </c:pt>
                <c:pt idx="7">
                  <c:v>19</c:v>
                </c:pt>
                <c:pt idx="8">
                  <c:v>20</c:v>
                </c:pt>
                <c:pt idx="9">
                  <c:v>21</c:v>
                </c:pt>
              </c:numCache>
            </c:numRef>
          </c:cat>
          <c:val>
            <c:numRef>
              <c:f>Osinko!$E$6:$E$15</c:f>
              <c:numCache>
                <c:formatCode>0.00</c:formatCode>
                <c:ptCount val="10"/>
                <c:pt idx="0">
                  <c:v>0.33</c:v>
                </c:pt>
                <c:pt idx="1">
                  <c:v>0.35</c:v>
                </c:pt>
                <c:pt idx="2">
                  <c:v>0.38</c:v>
                </c:pt>
                <c:pt idx="3">
                  <c:v>0.4</c:v>
                </c:pt>
                <c:pt idx="4">
                  <c:v>0.43</c:v>
                </c:pt>
                <c:pt idx="5">
                  <c:v>0.46</c:v>
                </c:pt>
                <c:pt idx="6">
                  <c:v>0.48</c:v>
                </c:pt>
                <c:pt idx="7">
                  <c:v>0.48</c:v>
                </c:pt>
                <c:pt idx="8">
                  <c:v>0.2</c:v>
                </c:pt>
                <c:pt idx="9">
                  <c:v>0.24</c:v>
                </c:pt>
              </c:numCache>
            </c:numRef>
          </c:val>
          <c:extLst>
            <c:ext xmlns:c="http://schemas.openxmlformats.org/drawingml/2006/chart" xmlns:c16="http://schemas.microsoft.com/office/drawing/2014/chart" uri="{C3380CC4-5D6E-409C-BE32-E72D297353CC}">
              <c16:uniqueId val="{0000000A-387A-4A0B-A135-40D271C1D1AB}"/>
            </c:ext>
          </c:extLst>
        </c:ser>
        <c:gapWidth val="200"/>
        <c:overlap val="100"/>
        <c:axId val="20781530"/>
        <c:axId val="432328"/>
        <c:extLst>
          <c:ext xmlns:c="http://schemas.openxmlformats.org/drawingml/2006/chart" xmlns:c15="http://schemas.microsoft.com/office/drawing/2012/chart" uri="{02D57815-91ED-43cb-92C2-25804820EDAC}">
            <c15:filteredBarSeries>
              <c15:ser>
                <c:idx val="1"/>
                <c:order val="1"/>
                <c:tx>
                  <c:strRef>
                    <c:extLst>
                      <c:ext uri="{02D57815-91ED-43cb-92C2-25804820EDAC}">
                        <c15:formulaRef>
                          <c15:sqref>Osinko!$G$22</c15:sqref>
                        </c15:formulaRef>
                      </c:ext>
                    </c:extLst>
                    <c:strCache>
                      <c:ptCount val="1"/>
                      <c:pt idx="0">
                        <c:v>Extra dividend per share</c:v>
                      </c:pt>
                    </c:strCache>
                  </c:strRef>
                </c:tx>
                <c:spPr>
                  <a:solidFill xmlns:a="http://schemas.openxmlformats.org/drawingml/2006/main">
                    <a:srgbClr val="CCCCCC"/>
                  </a:solidFill>
                  <a:ln xmlns:a="http://schemas.openxmlformats.org/drawingml/2006/main" cap="flat" cmpd="sng" w="0">
                    <a:solidFill>
                      <a:srgbClr val="CCCCCC"/>
                    </a:solidFill>
                  </a:ln>
                </c:spPr>
                <c:invertIfNegative val="0"/>
                <c:cat>
                  <c:numRef>
                    <c:extLst>
                      <c:ext uri="{02D57815-91ED-43cb-92C2-25804820EDAC}">
                        <c15:formulaRef>
                          <c15:sqref>Osinko!$B$6:$B$15</c15:sqref>
                        </c15:formulaRef>
                      </c:ext>
                    </c:extLst>
                    <c:numCache>
                      <c:formatCode>General</c:formatCode>
                      <c:ptCount val="10"/>
                      <c:pt idx="0">
                        <c:v>12</c:v>
                      </c:pt>
                      <c:pt idx="1">
                        <c:v>13</c:v>
                      </c:pt>
                      <c:pt idx="2">
                        <c:v>14</c:v>
                      </c:pt>
                      <c:pt idx="3">
                        <c:v>15</c:v>
                      </c:pt>
                      <c:pt idx="4">
                        <c:v>16</c:v>
                      </c:pt>
                      <c:pt idx="5">
                        <c:v>17</c:v>
                      </c:pt>
                      <c:pt idx="6">
                        <c:v>18</c:v>
                      </c:pt>
                      <c:pt idx="7">
                        <c:v>19</c:v>
                      </c:pt>
                      <c:pt idx="8">
                        <c:v>20</c:v>
                      </c:pt>
                      <c:pt idx="9">
                        <c:v>21</c:v>
                      </c:pt>
                    </c:numCache>
                  </c:numRef>
                </c:cat>
                <c:val>
                  <c:numRef>
                    <c:extLst>
                      <c:ext uri="{02D57815-91ED-43cb-92C2-25804820EDAC}">
                        <c15:formulaRef>
                          <c15:sqref>Osinko!$G$6:$G$15</c15:sqref>
                        </c15:formulaRef>
                      </c:ext>
                    </c:extLst>
                    <c:numCache>
                      <c:formatCode>General</c:formatCode>
                      <c:ptCount val="10"/>
                    </c:numCache>
                  </c:numRef>
                </c:val>
                <c:extLst>
                  <c:ext xmlns:c16="http://schemas.microsoft.com/office/drawing/2014/chart" uri="{C3380CC4-5D6E-409C-BE32-E72D297353CC}">
                    <c16:uniqueId val="{0000000C-387A-4A0B-A135-40D271C1D1AB}"/>
                  </c:ext>
                </c:extLst>
              </c15:ser>
            </c15:filteredBarSeries>
          </c:ext>
        </c:extLst>
      </c:barChart>
      <c:lineChart>
        <c:grouping val="standard"/>
        <c:varyColors val="0"/>
        <c:ser>
          <c:idx val="2"/>
          <c:order val="1"/>
          <c:tx>
            <c:strRef>
              <c:f>Osinko!$J$22</c:f>
              <c:strCache>
                <c:ptCount val="1"/>
                <c:pt idx="0">
                  <c:v>Basic earnings per share</c:v>
                </c:pt>
              </c:strCache>
            </c:strRef>
          </c:tx>
          <c:spPr>
            <a:ln w="22225" cap="rnd">
              <a:solidFill>
                <a:srgbClr val="FF7321"/>
              </a:solidFill>
              <a:round/>
            </a:ln>
          </c:spPr>
          <c:marker>
            <c:symbol val="none"/>
          </c:marker>
          <c:dLbls>
            <c:numFmt formatCode="General" sourceLinked="1"/>
            <c:showLegendKey val="0"/>
            <c:showVal val="0"/>
            <c:showCatName val="0"/>
            <c:showSerName val="0"/>
            <c:showPercent val="0"/>
            <c:showBubbleSize val="0"/>
            <c:showLeaderLines val="0"/>
          </c:dLbls>
          <c:cat>
            <c:numRef>
              <c:f>Osinko!$B$6:$B$15</c:f>
              <c:numCache>
                <c:formatCode>General</c:formatCode>
                <c:ptCount val="10"/>
                <c:pt idx="0">
                  <c:v>12</c:v>
                </c:pt>
                <c:pt idx="1">
                  <c:v>13</c:v>
                </c:pt>
                <c:pt idx="2">
                  <c:v>14</c:v>
                </c:pt>
                <c:pt idx="3">
                  <c:v>15</c:v>
                </c:pt>
                <c:pt idx="4">
                  <c:v>16</c:v>
                </c:pt>
                <c:pt idx="5">
                  <c:v>17</c:v>
                </c:pt>
                <c:pt idx="6">
                  <c:v>18</c:v>
                </c:pt>
                <c:pt idx="7">
                  <c:v>19</c:v>
                </c:pt>
                <c:pt idx="8">
                  <c:v>20</c:v>
                </c:pt>
                <c:pt idx="9">
                  <c:v>21</c:v>
                </c:pt>
              </c:numCache>
            </c:numRef>
          </c:cat>
          <c:val>
            <c:numRef>
              <c:f>Osinko!$J$6:$J$15</c:f>
              <c:numCache>
                <c:formatCode>General</c:formatCode>
                <c:ptCount val="10"/>
                <c:pt idx="0">
                  <c:v>0.57</c:v>
                </c:pt>
                <c:pt idx="1">
                  <c:v>0.66</c:v>
                </c:pt>
                <c:pt idx="2">
                  <c:v>0.59</c:v>
                </c:pt>
                <c:pt idx="3">
                  <c:v>0.75</c:v>
                </c:pt>
                <c:pt idx="4">
                  <c:v>0.6</c:v>
                </c:pt>
                <c:pt idx="5">
                  <c:v>0.63</c:v>
                </c:pt>
                <c:pt idx="6">
                  <c:v>0.65</c:v>
                </c:pt>
                <c:pt idx="7">
                  <c:v>0.37</c:v>
                </c:pt>
                <c:pt idx="8">
                  <c:v>0.23</c:v>
                </c:pt>
                <c:pt idx="9">
                  <c:v>0.34</c:v>
                </c:pt>
              </c:numCache>
            </c:numRef>
          </c:val>
          <c:smooth val="0"/>
          <c:extLst>
            <c:ext xmlns:c="http://schemas.openxmlformats.org/drawingml/2006/chart" xmlns:c16="http://schemas.microsoft.com/office/drawing/2014/chart" uri="{C3380CC4-5D6E-409C-BE32-E72D297353CC}">
              <c16:uniqueId val="{0000000B-387A-4A0B-A135-40D271C1D1AB}"/>
            </c:ext>
          </c:extLst>
        </c:ser>
        <c:marker val="1"/>
        <c:axId val="20781530"/>
        <c:axId val="432328"/>
      </c:lineChart>
      <c:catAx>
        <c:axId val="20781530"/>
        <c:scaling>
          <c:orientation val="minMax"/>
        </c:scaling>
        <c:delete val="0"/>
        <c:axPos val="b"/>
        <c:numFmt formatCode="General" sourceLinked="1"/>
        <c:majorTickMark val="none"/>
        <c:minorTickMark val="none"/>
        <c:tickLblPos val="nextTo"/>
        <c:spPr>
          <a:noFill/>
          <a:ln w="9525">
            <a:solidFill>
              <a:schemeClr val="tx1">
                <a:lumMod val="15000"/>
                <a:lumOff val="85000"/>
              </a:schemeClr>
            </a:solidFill>
            <a:round/>
          </a:ln>
        </c:spPr>
        <c:txPr>
          <a:bodyPr/>
          <a:lstStyle/>
          <a:p>
            <a:pPr>
              <a:defRPr lang="en-US" sz="700" b="1" u="none" baseline="0">
                <a:solidFill>
                  <a:schemeClr val="tx1"/>
                </a:solidFill>
                <a:latin typeface="Arial"/>
                <a:ea typeface="Arial"/>
                <a:cs typeface="Arial"/>
              </a:defRPr>
            </a:pPr>
          </a:p>
        </c:txPr>
        <c:crossAx val="432328"/>
        <c:crosses val="autoZero"/>
        <c:auto val="1"/>
        <c:lblOffset val="100"/>
        <c:noMultiLvlLbl val="0"/>
      </c:catAx>
      <c:valAx>
        <c:axId val="432328"/>
        <c:scaling>
          <c:orientation val="minMax"/>
          <c:max val="1"/>
        </c:scaling>
        <c:delete val="0"/>
        <c:axPos val="l"/>
        <c:majorGridlines>
          <c:spPr>
            <a:ln w="9525">
              <a:solidFill>
                <a:schemeClr val="tx1">
                  <a:lumMod val="15000"/>
                  <a:lumOff val="85000"/>
                </a:schemeClr>
              </a:solidFill>
              <a:round/>
            </a:ln>
          </c:spPr>
        </c:majorGridlines>
        <c:title>
          <c:tx>
            <c:rich>
              <a:bodyPr rot="0" vertOverflow="clip" vert="horz"/>
              <a:lstStyle/>
              <a:p>
                <a:pPr algn="ctr">
                  <a:defRPr/>
                </a:pPr>
                <a:r>
                  <a:rPr lang="en-US" u="none" baseline="0">
                    <a:solidFill>
                      <a:schemeClr val="tx1"/>
                    </a:solidFill>
                    <a:latin typeface="Arial"/>
                    <a:ea typeface="Arial"/>
                    <a:cs typeface="Arial"/>
                  </a:rPr>
                  <a:t>EUR</a:t>
                </a:r>
              </a:p>
            </c:rich>
          </c:tx>
          <c:layout>
            <c:manualLayout>
              <c:xMode val="edge"/>
              <c:yMode val="edge"/>
              <c:x val="0"/>
              <c:y val="0.00275"/>
            </c:manualLayout>
          </c:layout>
          <c:overlay val="0"/>
          <c:spPr>
            <a:noFill/>
            <a:ln w="6350">
              <a:noFill/>
            </a:ln>
          </c:spPr>
        </c:title>
        <c:numFmt formatCode="General" sourceLinked="1"/>
        <c:majorTickMark val="none"/>
        <c:minorTickMark val="none"/>
        <c:tickLblPos val="nextTo"/>
        <c:spPr>
          <a:noFill/>
          <a:ln w="6350">
            <a:noFill/>
          </a:ln>
        </c:spPr>
        <c:crossAx val="20781530"/>
        <c:crosses val="autoZero"/>
        <c:crossBetween val="between"/>
        <c:majorUnit val="0.25"/>
      </c:valAx>
      <c:spPr>
        <a:noFill/>
        <a:ln w="6350">
          <a:noFill/>
        </a:ln>
      </c:spPr>
    </c:plotArea>
    <c:legend>
      <c:legendPos val="b"/>
      <c:layout>
        <c:manualLayout>
          <c:xMode val="edge"/>
          <c:yMode val="edge"/>
          <c:x val="0.02775"/>
          <c:y val="0.86025"/>
          <c:w val="0.51625"/>
          <c:h val="0.1395"/>
        </c:manualLayout>
      </c:layout>
      <c:overlay val="0"/>
      <c:spPr>
        <a:noFill/>
        <a:ln w="6350">
          <a:noFill/>
        </a:ln>
      </c:spPr>
    </c:legend>
    <c:plotVisOnly val="1"/>
    <c:dispBlanksAs val="gap"/>
    <c:showDLblsOverMax val="0"/>
  </c:chart>
  <c:spPr>
    <a:solidFill>
      <a:schemeClr val="bg1"/>
    </a:solidFill>
    <a:ln w="9525">
      <a:solidFill>
        <a:schemeClr val="bg1"/>
      </a:solidFill>
      <a:round/>
    </a:ln>
  </c:spPr>
  <c:txPr>
    <a:bodyPr rot="0" vert="horz"/>
    <a:lstStyle/>
    <a:p>
      <a:pPr>
        <a:defRPr lang="en-US" sz="700" u="none" baseline="0">
          <a:solidFill>
            <a:schemeClr val="tx1"/>
          </a:solidFill>
          <a:latin typeface="Arial"/>
          <a:ea typeface="Arial"/>
          <a:cs typeface="Arial"/>
        </a:defRPr>
      </a:pPr>
    </a:p>
  </c:txPr>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7BFB0E-04E9-43FE-AD60-D8B675EBA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216</TotalTime>
  <Pages>96</Pages>
  <Words>47232</Words>
  <Characters>259336</Characters>
  <Application>Microsoft Office Word</Application>
  <DocSecurity>0</DocSecurity>
  <Lines>13</Lines>
  <Paragraphs>7726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299244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Rantala, Emilia</cp:lastModifiedBy>
  <cp:revision>107</cp:revision>
  <cp:lastPrinted>2020-10-21T07:41:00Z</cp:lastPrinted>
  <dcterms:created xsi:type="dcterms:W3CDTF">2018-10-29T15:56:00Z</dcterms:created>
  <dcterms:modified xsi:type="dcterms:W3CDTF">2022-01-26T09:45:00Z</dcterms:modified>
</cp:coreProperties>
</file>